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A3CF0" w14:textId="77777777" w:rsidR="00A13D2E" w:rsidRPr="005871F5" w:rsidRDefault="00A13D2E" w:rsidP="00A13D2E">
      <w:pPr>
        <w:pStyle w:val="Subttulo"/>
        <w:jc w:val="center"/>
        <w:rPr>
          <w:rFonts w:ascii="Times New Roman" w:hAnsi="Times New Roman" w:cs="Times New Roman"/>
        </w:rPr>
      </w:pPr>
      <w:r w:rsidRPr="009B56E0">
        <w:rPr>
          <w:rFonts w:ascii="Times New Roman" w:hAnsi="Times New Roman" w:cs="Times New Roman"/>
          <w:color w:val="auto"/>
        </w:rPr>
        <w:t>CORRELAÇÃO ENTRE INDICADORES DE QUALIDADE EM TERAPIA NUTRICIONAL E ESTADO NUTRICIONAL</w:t>
      </w:r>
      <w:r w:rsidRPr="005871F5">
        <w:rPr>
          <w:rFonts w:ascii="Times New Roman" w:hAnsi="Times New Roman" w:cs="Times New Roman"/>
        </w:rPr>
        <w:t>.</w:t>
      </w:r>
    </w:p>
    <w:p w14:paraId="0220A460" w14:textId="77777777" w:rsidR="00A13D2E" w:rsidRPr="002E5848" w:rsidRDefault="00A13D2E" w:rsidP="00A13D2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4E9A8B" w14:textId="77777777" w:rsidR="00A13D2E" w:rsidRPr="002E5848" w:rsidRDefault="0042193A" w:rsidP="00484BA8">
      <w:pPr>
        <w:pStyle w:val="SemEspaamen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Franciely Santos Borges de ALMEIDA</w:t>
      </w:r>
      <w:r w:rsidR="00A13D2E" w:rsidRPr="002E584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178B8BA9" w14:textId="77777777" w:rsidR="00A13D2E" w:rsidRPr="002E5848" w:rsidRDefault="00A13D2E" w:rsidP="00484BA8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</w:p>
    <w:p w14:paraId="5F798F9C" w14:textId="77777777" w:rsidR="00A13D2E" w:rsidRPr="002E5848" w:rsidRDefault="00A13D2E" w:rsidP="00484BA8">
      <w:pPr>
        <w:pStyle w:val="SemEspaamen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5848">
        <w:rPr>
          <w:rFonts w:ascii="Times New Roman" w:hAnsi="Times New Roman" w:cs="Times New Roman"/>
          <w:sz w:val="24"/>
          <w:szCs w:val="24"/>
        </w:rPr>
        <w:t>Lais Velasco dos SANTOS</w:t>
      </w:r>
      <w:r w:rsidRPr="002E584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55873CDF" w14:textId="77777777" w:rsidR="00A13D2E" w:rsidRPr="002E5848" w:rsidRDefault="00A13D2E" w:rsidP="00484BA8">
      <w:pPr>
        <w:pStyle w:val="SemEspaamen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03711C0" w14:textId="77777777" w:rsidR="00A13D2E" w:rsidRPr="002E5848" w:rsidRDefault="00A13D2E" w:rsidP="00484BA8">
      <w:pPr>
        <w:pStyle w:val="SemEspaamen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5848">
        <w:rPr>
          <w:rFonts w:ascii="Times New Roman" w:hAnsi="Times New Roman" w:cs="Times New Roman"/>
          <w:sz w:val="24"/>
          <w:szCs w:val="24"/>
        </w:rPr>
        <w:t>Letícia Sodré MOZER</w:t>
      </w:r>
      <w:r w:rsidRPr="002E584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1BB0CB51" w14:textId="77777777" w:rsidR="00A13D2E" w:rsidRPr="002E5848" w:rsidRDefault="00A13D2E" w:rsidP="00484BA8">
      <w:pPr>
        <w:pStyle w:val="SemEspaamen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874B0B9" w14:textId="77777777" w:rsidR="00A13D2E" w:rsidRPr="002E5848" w:rsidRDefault="00A13D2E" w:rsidP="00484BA8">
      <w:pPr>
        <w:pStyle w:val="SemEspaamen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5848">
        <w:rPr>
          <w:rFonts w:ascii="Times New Roman" w:hAnsi="Times New Roman" w:cs="Times New Roman"/>
          <w:sz w:val="24"/>
          <w:szCs w:val="24"/>
        </w:rPr>
        <w:t>Lucimara Mendes da Silva CRUZ</w:t>
      </w:r>
      <w:r w:rsidRPr="002E584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5FACA24A" w14:textId="77777777" w:rsidR="00A13D2E" w:rsidRPr="002E5848" w:rsidRDefault="00A13D2E" w:rsidP="00484BA8">
      <w:pPr>
        <w:pStyle w:val="SemEspaamen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CDADF19" w14:textId="77777777" w:rsidR="00A13D2E" w:rsidRPr="002E5848" w:rsidRDefault="00A13D2E" w:rsidP="00484BA8">
      <w:pPr>
        <w:pStyle w:val="SemEspaamen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5848">
        <w:rPr>
          <w:rFonts w:ascii="Times New Roman" w:hAnsi="Times New Roman" w:cs="Times New Roman"/>
          <w:sz w:val="24"/>
          <w:szCs w:val="24"/>
        </w:rPr>
        <w:t>Maingre Leyde dos SANTOS</w:t>
      </w:r>
      <w:r w:rsidRPr="002E584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73ADC9B3" w14:textId="77777777" w:rsidR="00A13D2E" w:rsidRPr="002E5848" w:rsidRDefault="00A13D2E" w:rsidP="00484BA8">
      <w:pPr>
        <w:pStyle w:val="SemEspaamen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D1FCF89" w14:textId="77777777" w:rsidR="00A13D2E" w:rsidRPr="002E5848" w:rsidRDefault="00A13D2E" w:rsidP="00484BA8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 w:rsidRPr="002E5848">
        <w:rPr>
          <w:rFonts w:ascii="Times New Roman" w:hAnsi="Times New Roman" w:cs="Times New Roman"/>
          <w:sz w:val="24"/>
          <w:szCs w:val="24"/>
        </w:rPr>
        <w:t>Paula Pexe Alves MACHADO</w:t>
      </w:r>
      <w:r w:rsidRPr="002E584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869B02E" w14:textId="77777777" w:rsidR="00A13D2E" w:rsidRPr="002E5848" w:rsidRDefault="00A13D2E" w:rsidP="00A13D2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8C6D5" w14:textId="77777777" w:rsidR="00A13D2E" w:rsidRPr="002E5848" w:rsidRDefault="00A13D2E" w:rsidP="00A13D2E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584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E5848">
        <w:rPr>
          <w:rFonts w:ascii="Times New Roman" w:hAnsi="Times New Roman" w:cs="Times New Roman"/>
          <w:sz w:val="20"/>
          <w:szCs w:val="20"/>
        </w:rPr>
        <w:t>Discente do Curso de Nutrição do Centro Universitário de Várzea Grande (UNIVAG).</w:t>
      </w:r>
    </w:p>
    <w:p w14:paraId="45107F11" w14:textId="77777777" w:rsidR="00A13D2E" w:rsidRPr="002E5848" w:rsidRDefault="00A13D2E" w:rsidP="00A13D2E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584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2E5848">
        <w:rPr>
          <w:rFonts w:ascii="Times New Roman" w:hAnsi="Times New Roman" w:cs="Times New Roman"/>
          <w:sz w:val="20"/>
          <w:szCs w:val="20"/>
        </w:rPr>
        <w:t>Mestrada em Ciência da Saúde. Docente do Curso de Nutrição do Centro Universitário de Várzea Grande (UNIVAG). E-mail: paulapexe@gmail.com.</w:t>
      </w:r>
    </w:p>
    <w:p w14:paraId="24E79707" w14:textId="77777777" w:rsidR="00A13D2E" w:rsidRPr="002E5848" w:rsidRDefault="00A13D2E" w:rsidP="00A13D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848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6399B7F0" w14:textId="64FB968E" w:rsidR="00CA268A" w:rsidRDefault="004D0620" w:rsidP="00CA2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848">
        <w:rPr>
          <w:rFonts w:ascii="Times New Roman" w:hAnsi="Times New Roman" w:cs="Times New Roman"/>
          <w:b/>
          <w:sz w:val="24"/>
          <w:szCs w:val="24"/>
        </w:rPr>
        <w:t>Introdução:</w:t>
      </w:r>
      <w:r w:rsidRPr="002E5848">
        <w:rPr>
          <w:rFonts w:ascii="Times New Roman" w:hAnsi="Times New Roman" w:cs="Times New Roman"/>
          <w:sz w:val="24"/>
          <w:szCs w:val="24"/>
        </w:rPr>
        <w:t xml:space="preserve"> A desnutrição é definida como deficiência de nutrientes que leva a alterações na composição corporal acarretando</w:t>
      </w:r>
      <w:r w:rsidR="008D1271">
        <w:rPr>
          <w:rFonts w:ascii="Times New Roman" w:hAnsi="Times New Roman" w:cs="Times New Roman"/>
          <w:sz w:val="24"/>
          <w:szCs w:val="24"/>
        </w:rPr>
        <w:t xml:space="preserve"> em</w:t>
      </w:r>
      <w:r w:rsidRPr="002E5848">
        <w:rPr>
          <w:rFonts w:ascii="Times New Roman" w:hAnsi="Times New Roman" w:cs="Times New Roman"/>
          <w:sz w:val="24"/>
          <w:szCs w:val="24"/>
        </w:rPr>
        <w:t xml:space="preserve"> prejuízos à saúde.</w:t>
      </w:r>
      <w:r w:rsidR="001B2B7C" w:rsidRPr="001B2B7C">
        <w:rPr>
          <w:rFonts w:ascii="Times New Roman" w:hAnsi="Times New Roman" w:cs="Times New Roman"/>
          <w:sz w:val="24"/>
          <w:szCs w:val="24"/>
        </w:rPr>
        <w:t xml:space="preserve"> </w:t>
      </w:r>
      <w:r w:rsidR="001B2B7C" w:rsidRPr="002E5848">
        <w:rPr>
          <w:rFonts w:ascii="Times New Roman" w:hAnsi="Times New Roman" w:cs="Times New Roman"/>
          <w:sz w:val="24"/>
          <w:szCs w:val="24"/>
        </w:rPr>
        <w:t>A campanha Diga Não à Desnutrição promovido pela BRASPEN, criou os 11 passos para combater a doença com o método mnemônico que utiliza as ini</w:t>
      </w:r>
      <w:r w:rsidR="001B2B7C">
        <w:rPr>
          <w:rFonts w:ascii="Times New Roman" w:hAnsi="Times New Roman" w:cs="Times New Roman"/>
          <w:sz w:val="24"/>
          <w:szCs w:val="24"/>
        </w:rPr>
        <w:t>ciais da palavra “DESNUTRIÇÃO”.</w:t>
      </w:r>
      <w:r w:rsidRPr="002E5848">
        <w:rPr>
          <w:rFonts w:ascii="Times New Roman" w:hAnsi="Times New Roman" w:cs="Times New Roman"/>
          <w:sz w:val="24"/>
          <w:szCs w:val="24"/>
        </w:rPr>
        <w:t xml:space="preserve"> A NE é uma via de alimentação por sonda onde o paciente encontra-se impossibilitado de se alimentar por via oral ou a ingestão alimentar é abaixo de 60%, contudo possui o trato gastrointestinal </w:t>
      </w:r>
      <w:r>
        <w:rPr>
          <w:rFonts w:ascii="Times New Roman" w:hAnsi="Times New Roman" w:cs="Times New Roman"/>
          <w:sz w:val="24"/>
          <w:szCs w:val="24"/>
        </w:rPr>
        <w:t>funcionante. A NP é uma via de administração intravenosa indicada quando a oferta por via enteral for insuficiente.</w:t>
      </w:r>
      <w:r w:rsidR="001B2B7C" w:rsidRPr="001B2B7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B2B7C" w:rsidRPr="003346B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Durante a terapia nutricional os indicadores de qualidade são importantes instrumentos de avaliação e monitoramento, com o objetivo de identificar possíveis dificuldades e falhas relacionadas aos protocolos de cuidados nutrici</w:t>
      </w:r>
      <w:r w:rsidR="00D851C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onais ministrados aos pacientes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2E5848">
        <w:rPr>
          <w:rFonts w:ascii="Times New Roman" w:hAnsi="Times New Roman" w:cs="Times New Roman"/>
          <w:sz w:val="24"/>
          <w:szCs w:val="24"/>
        </w:rPr>
        <w:t>Para obter um bom estado nutricional de pacientes hospitalizados deve-se garantir a eficiência da aplicação de indicadores de qualidade</w:t>
      </w:r>
      <w:r w:rsidRPr="002E584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155B9"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 xml:space="preserve">Objetivo: </w:t>
      </w:r>
      <w:r>
        <w:rPr>
          <w:rFonts w:ascii="Times New Roman" w:hAnsi="Times New Roman" w:cs="Times New Roman"/>
          <w:sz w:val="24"/>
          <w:szCs w:val="24"/>
        </w:rPr>
        <w:t>Correlacionar</w:t>
      </w:r>
      <w:r w:rsidRPr="002E5848">
        <w:rPr>
          <w:rFonts w:ascii="Times New Roman" w:hAnsi="Times New Roman" w:cs="Times New Roman"/>
          <w:sz w:val="24"/>
          <w:szCs w:val="24"/>
        </w:rPr>
        <w:t xml:space="preserve"> o estado nutricional de pacientes hos</w:t>
      </w:r>
      <w:r>
        <w:rPr>
          <w:rFonts w:ascii="Times New Roman" w:hAnsi="Times New Roman" w:cs="Times New Roman"/>
          <w:sz w:val="24"/>
          <w:szCs w:val="24"/>
        </w:rPr>
        <w:t xml:space="preserve">pitalizados em terapia enteral e parenteral por </w:t>
      </w:r>
      <w:r w:rsidRPr="002E5848">
        <w:rPr>
          <w:rFonts w:ascii="Times New Roman" w:hAnsi="Times New Roman" w:cs="Times New Roman"/>
          <w:sz w:val="24"/>
          <w:szCs w:val="24"/>
        </w:rPr>
        <w:t>indicadores de qualidade</w:t>
      </w:r>
      <w:r>
        <w:rPr>
          <w:rFonts w:ascii="Times New Roman" w:hAnsi="Times New Roman" w:cs="Times New Roman"/>
          <w:sz w:val="24"/>
          <w:szCs w:val="24"/>
        </w:rPr>
        <w:t xml:space="preserve"> em pacientes hospitalizados.</w:t>
      </w:r>
      <w:r w:rsidR="005C2D80">
        <w:rPr>
          <w:rFonts w:ascii="Times New Roman" w:hAnsi="Times New Roman" w:cs="Times New Roman"/>
          <w:sz w:val="24"/>
          <w:szCs w:val="24"/>
        </w:rPr>
        <w:t xml:space="preserve"> </w:t>
      </w:r>
      <w:r w:rsidRPr="002E5848">
        <w:rPr>
          <w:rFonts w:ascii="Times New Roman" w:hAnsi="Times New Roman" w:cs="Times New Roman"/>
          <w:b/>
          <w:sz w:val="24"/>
          <w:szCs w:val="24"/>
        </w:rPr>
        <w:t xml:space="preserve">Materiais e métodos: </w:t>
      </w:r>
      <w:r>
        <w:rPr>
          <w:rFonts w:ascii="Times New Roman" w:hAnsi="Times New Roman" w:cs="Times New Roman"/>
          <w:sz w:val="24"/>
          <w:szCs w:val="24"/>
        </w:rPr>
        <w:t>O estudo foi</w:t>
      </w:r>
      <w:r w:rsidRPr="002E5848">
        <w:rPr>
          <w:rFonts w:ascii="Times New Roman" w:hAnsi="Times New Roman" w:cs="Times New Roman"/>
          <w:sz w:val="24"/>
          <w:szCs w:val="24"/>
        </w:rPr>
        <w:t xml:space="preserve"> do tipo transv</w:t>
      </w:r>
      <w:r>
        <w:rPr>
          <w:rFonts w:ascii="Times New Roman" w:hAnsi="Times New Roman" w:cs="Times New Roman"/>
          <w:sz w:val="24"/>
          <w:szCs w:val="24"/>
        </w:rPr>
        <w:t>ersal e quantitativo, onde foram</w:t>
      </w:r>
      <w:r w:rsidRPr="002E5848">
        <w:rPr>
          <w:rFonts w:ascii="Times New Roman" w:hAnsi="Times New Roman" w:cs="Times New Roman"/>
          <w:sz w:val="24"/>
          <w:szCs w:val="24"/>
        </w:rPr>
        <w:t xml:space="preserve"> analisados</w:t>
      </w:r>
      <w:r w:rsidR="005C2D80">
        <w:rPr>
          <w:rFonts w:ascii="Times New Roman" w:hAnsi="Times New Roman" w:cs="Times New Roman"/>
          <w:sz w:val="24"/>
          <w:szCs w:val="24"/>
        </w:rPr>
        <w:t xml:space="preserve"> 50</w:t>
      </w:r>
      <w:r w:rsidRPr="002E5848">
        <w:rPr>
          <w:rFonts w:ascii="Times New Roman" w:hAnsi="Times New Roman" w:cs="Times New Roman"/>
          <w:sz w:val="24"/>
          <w:szCs w:val="24"/>
        </w:rPr>
        <w:t xml:space="preserve"> pacientes em terapia nutricional </w:t>
      </w:r>
      <w:r>
        <w:rPr>
          <w:rFonts w:ascii="Times New Roman" w:hAnsi="Times New Roman" w:cs="Times New Roman"/>
          <w:sz w:val="24"/>
          <w:szCs w:val="24"/>
        </w:rPr>
        <w:t>enteral e parenteral</w:t>
      </w:r>
      <w:r w:rsidRPr="002E5848">
        <w:rPr>
          <w:rFonts w:ascii="Times New Roman" w:hAnsi="Times New Roman" w:cs="Times New Roman"/>
          <w:sz w:val="24"/>
          <w:szCs w:val="24"/>
        </w:rPr>
        <w:t>, adultos</w:t>
      </w:r>
      <w:r w:rsidR="00E83E39">
        <w:rPr>
          <w:rFonts w:ascii="Times New Roman" w:hAnsi="Times New Roman" w:cs="Times New Roman"/>
          <w:sz w:val="24"/>
          <w:szCs w:val="24"/>
        </w:rPr>
        <w:t xml:space="preserve"> e idosos</w:t>
      </w:r>
      <w:r w:rsidRPr="002E5848">
        <w:rPr>
          <w:rFonts w:ascii="Times New Roman" w:hAnsi="Times New Roman" w:cs="Times New Roman"/>
          <w:sz w:val="24"/>
          <w:szCs w:val="24"/>
        </w:rPr>
        <w:t xml:space="preserve"> de ambos os sexos do Hospital de Câncer de </w:t>
      </w:r>
      <w:r w:rsidR="00925487" w:rsidRPr="002E5848">
        <w:rPr>
          <w:rFonts w:ascii="Times New Roman" w:hAnsi="Times New Roman" w:cs="Times New Roman"/>
          <w:sz w:val="24"/>
          <w:szCs w:val="24"/>
        </w:rPr>
        <w:t>Matogrosso</w:t>
      </w:r>
      <w:r w:rsidRPr="002E5848">
        <w:rPr>
          <w:rFonts w:ascii="Times New Roman" w:hAnsi="Times New Roman" w:cs="Times New Roman"/>
          <w:sz w:val="24"/>
          <w:szCs w:val="24"/>
        </w:rPr>
        <w:t>, em Cuiabá-MT</w:t>
      </w:r>
      <w:r w:rsidRPr="00F13B5F">
        <w:rPr>
          <w:rFonts w:ascii="Times New Roman" w:hAnsi="Times New Roman" w:cs="Times New Roman"/>
          <w:sz w:val="24"/>
          <w:szCs w:val="24"/>
        </w:rPr>
        <w:t>.</w:t>
      </w:r>
      <w:r w:rsidR="005C2D80" w:rsidRPr="00F13B5F">
        <w:rPr>
          <w:rFonts w:ascii="Times New Roman" w:hAnsi="Times New Roman" w:cs="Times New Roman"/>
          <w:sz w:val="24"/>
          <w:szCs w:val="24"/>
        </w:rPr>
        <w:t xml:space="preserve"> Foi aplicado o formulário de Avaliação Subjetiva Global Preenchida pelo Paciente (ASG-PPP</w:t>
      </w:r>
      <w:r w:rsidR="008D1271" w:rsidRPr="00F13B5F">
        <w:rPr>
          <w:rFonts w:ascii="Times New Roman" w:hAnsi="Times New Roman" w:cs="Times New Roman"/>
          <w:sz w:val="24"/>
          <w:szCs w:val="24"/>
        </w:rPr>
        <w:t>) e os indicadores em terapia nutricional coletados diariamente</w:t>
      </w:r>
      <w:r w:rsidR="005C2D80" w:rsidRPr="00F13B5F">
        <w:rPr>
          <w:rFonts w:ascii="Times New Roman" w:hAnsi="Times New Roman" w:cs="Times New Roman"/>
          <w:sz w:val="24"/>
          <w:szCs w:val="24"/>
        </w:rPr>
        <w:t>.</w:t>
      </w:r>
      <w:r w:rsidRPr="00A13D2E">
        <w:rPr>
          <w:rFonts w:ascii="Times New Roman" w:hAnsi="Times New Roman" w:cs="Times New Roman"/>
          <w:b/>
          <w:sz w:val="24"/>
          <w:szCs w:val="24"/>
        </w:rPr>
        <w:t xml:space="preserve"> Resultados</w:t>
      </w:r>
      <w:r>
        <w:rPr>
          <w:rFonts w:ascii="Times New Roman" w:hAnsi="Times New Roman" w:cs="Times New Roman"/>
          <w:sz w:val="24"/>
          <w:szCs w:val="24"/>
        </w:rPr>
        <w:t>:</w:t>
      </w:r>
      <w:r w:rsidR="00130448">
        <w:rPr>
          <w:rFonts w:ascii="Times New Roman" w:hAnsi="Times New Roman" w:cs="Times New Roman"/>
          <w:sz w:val="24"/>
          <w:szCs w:val="24"/>
        </w:rPr>
        <w:t xml:space="preserve"> </w:t>
      </w:r>
      <w:r w:rsidR="00492980">
        <w:rPr>
          <w:rFonts w:ascii="Times New Roman" w:hAnsi="Times New Roman" w:cs="Times New Roman"/>
          <w:sz w:val="24"/>
          <w:szCs w:val="24"/>
        </w:rPr>
        <w:t xml:space="preserve">Após avaliados, </w:t>
      </w:r>
      <w:r w:rsidR="00492980">
        <w:rPr>
          <w:rFonts w:ascii="Times New Roman" w:eastAsiaTheme="minorEastAsia" w:hAnsi="Times New Roman" w:cs="Times New Roman"/>
          <w:sz w:val="24"/>
          <w:szCs w:val="24"/>
        </w:rPr>
        <w:lastRenderedPageBreak/>
        <w:t>no diagnóstico nutricional 16% foram classificados em ASG-A, 22% em ASG-B e 62% em ASG-C, 36% com Câncer do trato gastrointestinal, no tratamento clínico 52% foram identificados como Câncer em outros sítios, e 12% em tratamento clínico.</w:t>
      </w:r>
      <w:r w:rsidR="00CA268A">
        <w:rPr>
          <w:rFonts w:ascii="Times New Roman" w:hAnsi="Times New Roman" w:cs="Times New Roman"/>
          <w:sz w:val="24"/>
          <w:szCs w:val="24"/>
        </w:rPr>
        <w:t xml:space="preserve"> </w:t>
      </w:r>
      <w:r w:rsidRPr="00A13D2E">
        <w:rPr>
          <w:rFonts w:ascii="Times New Roman" w:hAnsi="Times New Roman" w:cs="Times New Roman"/>
          <w:b/>
          <w:sz w:val="24"/>
          <w:szCs w:val="24"/>
        </w:rPr>
        <w:t>Conclusão:</w:t>
      </w:r>
      <w:r w:rsidR="00CA268A" w:rsidRPr="00CA26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83E3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Diante da aplicação dos indicadores de qualidade o estudo mostrou resultados relativos em comparação com as metas atribuídas de acordo com a literatura.</w:t>
      </w:r>
    </w:p>
    <w:p w14:paraId="1B326E92" w14:textId="77777777" w:rsidR="004D0620" w:rsidRPr="00CA268A" w:rsidRDefault="004D0620" w:rsidP="004D06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89E98" w14:textId="77777777" w:rsidR="00A13D2E" w:rsidRDefault="00A13D2E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848">
        <w:rPr>
          <w:rFonts w:ascii="Times New Roman" w:hAnsi="Times New Roman" w:cs="Times New Roman"/>
          <w:sz w:val="24"/>
          <w:szCs w:val="24"/>
        </w:rPr>
        <w:t>Palavras-chave: Indicadores de qualidade. Terapia nutricional. Nutrição enteral.</w:t>
      </w:r>
    </w:p>
    <w:p w14:paraId="4B1D6DDF" w14:textId="77777777" w:rsidR="008D676E" w:rsidRDefault="008D676E" w:rsidP="00A13D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A684B" w14:textId="430CEA84" w:rsidR="00A13D2E" w:rsidRDefault="00A13D2E" w:rsidP="00A13D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D2E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71BFB738" w14:textId="44FA71DD" w:rsidR="00A13D2E" w:rsidRDefault="00DE6749" w:rsidP="00DE674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749">
        <w:rPr>
          <w:rFonts w:ascii="Times New Roman" w:hAnsi="Times New Roman" w:cs="Times New Roman"/>
          <w:b/>
          <w:sz w:val="24"/>
        </w:rPr>
        <w:t>Introduction</w:t>
      </w:r>
      <w:proofErr w:type="spellEnd"/>
      <w:r w:rsidRPr="00DE6749">
        <w:rPr>
          <w:rFonts w:ascii="Times New Roman" w:hAnsi="Times New Roman" w:cs="Times New Roman"/>
          <w:b/>
          <w:sz w:val="24"/>
        </w:rPr>
        <w:t>:</w:t>
      </w:r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Malnutrition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is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defined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DE6749">
        <w:rPr>
          <w:rFonts w:ascii="Times New Roman" w:hAnsi="Times New Roman" w:cs="Times New Roman"/>
          <w:sz w:val="24"/>
        </w:rPr>
        <w:t>nutrient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deficiency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that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leads </w:t>
      </w:r>
      <w:proofErr w:type="spellStart"/>
      <w:r w:rsidRPr="00DE6749">
        <w:rPr>
          <w:rFonts w:ascii="Times New Roman" w:hAnsi="Times New Roman" w:cs="Times New Roman"/>
          <w:sz w:val="24"/>
        </w:rPr>
        <w:t>to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changes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DE6749">
        <w:rPr>
          <w:rFonts w:ascii="Times New Roman" w:hAnsi="Times New Roman" w:cs="Times New Roman"/>
          <w:sz w:val="24"/>
        </w:rPr>
        <w:t>body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composition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leading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to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health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damage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. The </w:t>
      </w:r>
      <w:proofErr w:type="spellStart"/>
      <w:r w:rsidRPr="00DE6749">
        <w:rPr>
          <w:rFonts w:ascii="Times New Roman" w:hAnsi="Times New Roman" w:cs="Times New Roman"/>
          <w:sz w:val="24"/>
        </w:rPr>
        <w:t>Say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No </w:t>
      </w:r>
      <w:proofErr w:type="spellStart"/>
      <w:r w:rsidRPr="00DE6749">
        <w:rPr>
          <w:rFonts w:ascii="Times New Roman" w:hAnsi="Times New Roman" w:cs="Times New Roman"/>
          <w:sz w:val="24"/>
        </w:rPr>
        <w:t>to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Malnutrition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campaign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promoted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by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BRASPEN </w:t>
      </w:r>
      <w:proofErr w:type="spellStart"/>
      <w:r w:rsidRPr="00DE6749">
        <w:rPr>
          <w:rFonts w:ascii="Times New Roman" w:hAnsi="Times New Roman" w:cs="Times New Roman"/>
          <w:sz w:val="24"/>
        </w:rPr>
        <w:t>created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the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11 </w:t>
      </w:r>
      <w:proofErr w:type="spellStart"/>
      <w:r w:rsidRPr="00DE6749">
        <w:rPr>
          <w:rFonts w:ascii="Times New Roman" w:hAnsi="Times New Roman" w:cs="Times New Roman"/>
          <w:sz w:val="24"/>
        </w:rPr>
        <w:t>steps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to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fight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disease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with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the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mnemonic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method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that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uses </w:t>
      </w:r>
      <w:proofErr w:type="spellStart"/>
      <w:r w:rsidRPr="00DE6749">
        <w:rPr>
          <w:rFonts w:ascii="Times New Roman" w:hAnsi="Times New Roman" w:cs="Times New Roman"/>
          <w:sz w:val="24"/>
        </w:rPr>
        <w:t>the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initials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of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the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word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"MALNUTRITION". NE </w:t>
      </w:r>
      <w:proofErr w:type="spellStart"/>
      <w:r w:rsidRPr="00DE6749">
        <w:rPr>
          <w:rFonts w:ascii="Times New Roman" w:hAnsi="Times New Roman" w:cs="Times New Roman"/>
          <w:sz w:val="24"/>
        </w:rPr>
        <w:t>is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a tube </w:t>
      </w:r>
      <w:proofErr w:type="spellStart"/>
      <w:r w:rsidRPr="00DE6749">
        <w:rPr>
          <w:rFonts w:ascii="Times New Roman" w:hAnsi="Times New Roman" w:cs="Times New Roman"/>
          <w:sz w:val="24"/>
        </w:rPr>
        <w:t>feeding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route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where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the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patient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is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unable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to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orally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fed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or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food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intake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is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below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60%, </w:t>
      </w:r>
      <w:proofErr w:type="spellStart"/>
      <w:r w:rsidRPr="00DE6749">
        <w:rPr>
          <w:rFonts w:ascii="Times New Roman" w:hAnsi="Times New Roman" w:cs="Times New Roman"/>
          <w:sz w:val="24"/>
        </w:rPr>
        <w:t>but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the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gastrointestinal </w:t>
      </w:r>
      <w:proofErr w:type="spellStart"/>
      <w:r w:rsidRPr="00DE6749">
        <w:rPr>
          <w:rFonts w:ascii="Times New Roman" w:hAnsi="Times New Roman" w:cs="Times New Roman"/>
          <w:sz w:val="24"/>
        </w:rPr>
        <w:t>tract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is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functioning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. NP </w:t>
      </w:r>
      <w:proofErr w:type="spellStart"/>
      <w:r w:rsidRPr="00DE6749">
        <w:rPr>
          <w:rFonts w:ascii="Times New Roman" w:hAnsi="Times New Roman" w:cs="Times New Roman"/>
          <w:sz w:val="24"/>
        </w:rPr>
        <w:t>is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an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indicated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intravenous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route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of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administration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when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enteral </w:t>
      </w:r>
      <w:proofErr w:type="spellStart"/>
      <w:r w:rsidRPr="00DE6749">
        <w:rPr>
          <w:rFonts w:ascii="Times New Roman" w:hAnsi="Times New Roman" w:cs="Times New Roman"/>
          <w:sz w:val="24"/>
        </w:rPr>
        <w:t>supply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is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insufficient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E6749">
        <w:rPr>
          <w:rFonts w:ascii="Times New Roman" w:hAnsi="Times New Roman" w:cs="Times New Roman"/>
          <w:sz w:val="24"/>
        </w:rPr>
        <w:t>During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nutritional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therapy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E6749">
        <w:rPr>
          <w:rFonts w:ascii="Times New Roman" w:hAnsi="Times New Roman" w:cs="Times New Roman"/>
          <w:sz w:val="24"/>
        </w:rPr>
        <w:t>quality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indicators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are </w:t>
      </w:r>
      <w:proofErr w:type="spellStart"/>
      <w:r w:rsidRPr="00DE6749">
        <w:rPr>
          <w:rFonts w:ascii="Times New Roman" w:hAnsi="Times New Roman" w:cs="Times New Roman"/>
          <w:sz w:val="24"/>
        </w:rPr>
        <w:t>important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tools for </w:t>
      </w:r>
      <w:proofErr w:type="spellStart"/>
      <w:r w:rsidRPr="00DE6749">
        <w:rPr>
          <w:rFonts w:ascii="Times New Roman" w:hAnsi="Times New Roman" w:cs="Times New Roman"/>
          <w:sz w:val="24"/>
        </w:rPr>
        <w:t>evaluation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and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monitoring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, in </w:t>
      </w:r>
      <w:proofErr w:type="spellStart"/>
      <w:r w:rsidRPr="00DE6749">
        <w:rPr>
          <w:rFonts w:ascii="Times New Roman" w:hAnsi="Times New Roman" w:cs="Times New Roman"/>
          <w:sz w:val="24"/>
        </w:rPr>
        <w:t>order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to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identify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possible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difficulties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and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failures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related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to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nutritional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care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protocols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given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to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patients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. In </w:t>
      </w:r>
      <w:proofErr w:type="spellStart"/>
      <w:r w:rsidRPr="00DE6749">
        <w:rPr>
          <w:rFonts w:ascii="Times New Roman" w:hAnsi="Times New Roman" w:cs="Times New Roman"/>
          <w:sz w:val="24"/>
        </w:rPr>
        <w:t>order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to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obtain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DE6749">
        <w:rPr>
          <w:rFonts w:ascii="Times New Roman" w:hAnsi="Times New Roman" w:cs="Times New Roman"/>
          <w:sz w:val="24"/>
        </w:rPr>
        <w:t>good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nutritional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status </w:t>
      </w:r>
      <w:proofErr w:type="spellStart"/>
      <w:r w:rsidRPr="00DE6749">
        <w:rPr>
          <w:rFonts w:ascii="Times New Roman" w:hAnsi="Times New Roman" w:cs="Times New Roman"/>
          <w:sz w:val="24"/>
        </w:rPr>
        <w:t>of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hospitalized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patients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, it </w:t>
      </w:r>
      <w:proofErr w:type="spellStart"/>
      <w:r w:rsidRPr="00DE6749">
        <w:rPr>
          <w:rFonts w:ascii="Times New Roman" w:hAnsi="Times New Roman" w:cs="Times New Roman"/>
          <w:sz w:val="24"/>
        </w:rPr>
        <w:t>is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necessary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to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guarantee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the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efficiency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of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the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application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of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quality</w:t>
      </w:r>
      <w:proofErr w:type="spellEnd"/>
      <w:r w:rsidRPr="00DE6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</w:rPr>
        <w:t>indicators</w:t>
      </w:r>
      <w:proofErr w:type="spellEnd"/>
      <w:r w:rsidRPr="00DE674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b/>
          <w:sz w:val="24"/>
          <w:szCs w:val="24"/>
        </w:rPr>
        <w:t>Objective</w:t>
      </w:r>
      <w:proofErr w:type="spellEnd"/>
      <w:r w:rsidRPr="00DE6749">
        <w:rPr>
          <w:rFonts w:ascii="Times New Roman" w:hAnsi="Times New Roman" w:cs="Times New Roman"/>
          <w:b/>
          <w:sz w:val="24"/>
          <w:szCs w:val="24"/>
        </w:rPr>
        <w:t>:</w:t>
      </w:r>
      <w:r w:rsidRPr="00DE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E6749">
        <w:rPr>
          <w:rFonts w:ascii="Times New Roman" w:hAnsi="Times New Roman" w:cs="Times New Roman"/>
          <w:sz w:val="24"/>
          <w:szCs w:val="24"/>
        </w:rPr>
        <w:t xml:space="preserve"> correlate </w:t>
      </w:r>
      <w:proofErr w:type="spellStart"/>
      <w:r w:rsidRPr="00DE67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E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DE6749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DE674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E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  <w:szCs w:val="24"/>
        </w:rPr>
        <w:t>hospitalized</w:t>
      </w:r>
      <w:proofErr w:type="spellEnd"/>
      <w:r w:rsidRPr="00DE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DE6749">
        <w:rPr>
          <w:rFonts w:ascii="Times New Roman" w:hAnsi="Times New Roman" w:cs="Times New Roman"/>
          <w:sz w:val="24"/>
          <w:szCs w:val="24"/>
        </w:rPr>
        <w:t xml:space="preserve"> in enteral </w:t>
      </w:r>
      <w:proofErr w:type="spellStart"/>
      <w:r w:rsidRPr="00DE674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E6749">
        <w:rPr>
          <w:rFonts w:ascii="Times New Roman" w:hAnsi="Times New Roman" w:cs="Times New Roman"/>
          <w:sz w:val="24"/>
          <w:szCs w:val="24"/>
        </w:rPr>
        <w:t xml:space="preserve"> parenteral </w:t>
      </w:r>
      <w:proofErr w:type="spellStart"/>
      <w:r w:rsidRPr="00DE6749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DE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E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DE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  <w:szCs w:val="24"/>
        </w:rPr>
        <w:t>indicators</w:t>
      </w:r>
      <w:proofErr w:type="spellEnd"/>
      <w:r w:rsidRPr="00DE674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E6749">
        <w:rPr>
          <w:rFonts w:ascii="Times New Roman" w:hAnsi="Times New Roman" w:cs="Times New Roman"/>
          <w:sz w:val="24"/>
          <w:szCs w:val="24"/>
        </w:rPr>
        <w:t>hospitalized</w:t>
      </w:r>
      <w:proofErr w:type="spellEnd"/>
      <w:r w:rsidRPr="00DE6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49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DE67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EA3" w:rsidRPr="006C3EA3">
        <w:rPr>
          <w:rFonts w:ascii="Times New Roman" w:hAnsi="Times New Roman" w:cs="Times New Roman"/>
          <w:b/>
          <w:sz w:val="24"/>
          <w:szCs w:val="24"/>
        </w:rPr>
        <w:t>Materials</w:t>
      </w:r>
      <w:proofErr w:type="spellEnd"/>
      <w:r w:rsidR="006C3EA3" w:rsidRPr="006C3E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EA3" w:rsidRPr="006C3EA3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6C3EA3" w:rsidRPr="006C3E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EA3" w:rsidRPr="006C3EA3">
        <w:rPr>
          <w:rFonts w:ascii="Times New Roman" w:hAnsi="Times New Roman" w:cs="Times New Roman"/>
          <w:b/>
          <w:sz w:val="24"/>
          <w:szCs w:val="24"/>
        </w:rPr>
        <w:t>methods</w:t>
      </w:r>
      <w:proofErr w:type="spellEnd"/>
      <w:r w:rsidR="006C3EA3" w:rsidRPr="006C3EA3">
        <w:rPr>
          <w:rFonts w:ascii="Times New Roman" w:hAnsi="Times New Roman" w:cs="Times New Roman"/>
          <w:b/>
          <w:sz w:val="24"/>
          <w:szCs w:val="24"/>
        </w:rPr>
        <w:t>:</w:t>
      </w:r>
      <w:r w:rsidR="006C3EA3" w:rsidRPr="006C3EA3">
        <w:rPr>
          <w:rFonts w:ascii="Times New Roman" w:hAnsi="Times New Roman" w:cs="Times New Roman"/>
          <w:sz w:val="24"/>
          <w:szCs w:val="24"/>
        </w:rPr>
        <w:t xml:space="preserve"> </w:t>
      </w:r>
      <w:r w:rsidR="006A26F1" w:rsidRPr="006A26F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cross-sectional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in enteral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parenteral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elderly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genders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Hospital de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de Matogrosso, in Cuiabá-MT,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Patient-Filled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Subjective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(ASG-PPP)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indicators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applied.</w:t>
      </w:r>
      <w:r w:rsidR="006C3EA3" w:rsidRPr="006C3EA3">
        <w:rPr>
          <w:rFonts w:ascii="Times New Roman" w:hAnsi="Times New Roman" w:cs="Times New Roman"/>
          <w:b/>
          <w:sz w:val="24"/>
          <w:szCs w:val="24"/>
        </w:rPr>
        <w:t>Results</w:t>
      </w:r>
      <w:proofErr w:type="spellEnd"/>
      <w:r w:rsidR="006C3EA3" w:rsidRPr="006C3EA3">
        <w:rPr>
          <w:rFonts w:ascii="Times New Roman" w:hAnsi="Times New Roman" w:cs="Times New Roman"/>
          <w:b/>
          <w:sz w:val="24"/>
          <w:szCs w:val="24"/>
        </w:rPr>
        <w:t>:</w:t>
      </w:r>
      <w:r w:rsidR="006C3EA3" w:rsidRPr="006C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EA3" w:rsidRPr="006C3EA3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6C3EA3" w:rsidRPr="006C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EA3" w:rsidRPr="006C3EA3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="006C3EA3" w:rsidRPr="006C3EA3">
        <w:rPr>
          <w:rFonts w:ascii="Times New Roman" w:hAnsi="Times New Roman" w:cs="Times New Roman"/>
          <w:sz w:val="24"/>
          <w:szCs w:val="24"/>
        </w:rPr>
        <w:t xml:space="preserve">, 16% </w:t>
      </w:r>
      <w:proofErr w:type="spellStart"/>
      <w:r w:rsidR="006C3EA3" w:rsidRPr="006C3EA3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6C3EA3" w:rsidRPr="006C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EA3" w:rsidRPr="006C3EA3">
        <w:rPr>
          <w:rFonts w:ascii="Times New Roman" w:hAnsi="Times New Roman" w:cs="Times New Roman"/>
          <w:sz w:val="24"/>
          <w:szCs w:val="24"/>
        </w:rPr>
        <w:t>classified</w:t>
      </w:r>
      <w:proofErr w:type="spellEnd"/>
      <w:r w:rsidR="006C3EA3" w:rsidRPr="006C3EA3">
        <w:rPr>
          <w:rFonts w:ascii="Times New Roman" w:hAnsi="Times New Roman" w:cs="Times New Roman"/>
          <w:sz w:val="24"/>
          <w:szCs w:val="24"/>
        </w:rPr>
        <w:t xml:space="preserve"> as ASG-A, 22% in ASG-B </w:t>
      </w:r>
      <w:proofErr w:type="spellStart"/>
      <w:r w:rsidR="006C3EA3" w:rsidRPr="006C3E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C3EA3" w:rsidRPr="006C3EA3">
        <w:rPr>
          <w:rFonts w:ascii="Times New Roman" w:hAnsi="Times New Roman" w:cs="Times New Roman"/>
          <w:sz w:val="24"/>
          <w:szCs w:val="24"/>
        </w:rPr>
        <w:t xml:space="preserve"> 62% in ASG-C, 36% </w:t>
      </w:r>
      <w:proofErr w:type="spellStart"/>
      <w:r w:rsidR="006C3EA3" w:rsidRPr="006C3EA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6C3EA3" w:rsidRPr="006C3EA3">
        <w:rPr>
          <w:rFonts w:ascii="Times New Roman" w:hAnsi="Times New Roman" w:cs="Times New Roman"/>
          <w:sz w:val="24"/>
          <w:szCs w:val="24"/>
        </w:rPr>
        <w:t xml:space="preserve"> gastrointestinal </w:t>
      </w:r>
      <w:proofErr w:type="spellStart"/>
      <w:r w:rsidR="006C3EA3" w:rsidRPr="006C3EA3">
        <w:rPr>
          <w:rFonts w:ascii="Times New Roman" w:hAnsi="Times New Roman" w:cs="Times New Roman"/>
          <w:sz w:val="24"/>
          <w:szCs w:val="24"/>
        </w:rPr>
        <w:t>tract</w:t>
      </w:r>
      <w:proofErr w:type="spellEnd"/>
      <w:r w:rsidR="006C3EA3" w:rsidRPr="006C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EA3" w:rsidRPr="006C3EA3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="006C3EA3" w:rsidRPr="006C3E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3EA3" w:rsidRPr="006C3E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C3EA3" w:rsidRPr="006C3EA3">
        <w:rPr>
          <w:rFonts w:ascii="Times New Roman" w:hAnsi="Times New Roman" w:cs="Times New Roman"/>
          <w:sz w:val="24"/>
          <w:szCs w:val="24"/>
        </w:rPr>
        <w:t xml:space="preserve"> 52% </w:t>
      </w:r>
      <w:proofErr w:type="spellStart"/>
      <w:r w:rsidR="006C3EA3" w:rsidRPr="006C3EA3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="006C3EA3" w:rsidRPr="006C3EA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6C3EA3" w:rsidRPr="006C3EA3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="006C3EA3" w:rsidRPr="006C3EA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C3EA3" w:rsidRPr="006C3EA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6C3EA3" w:rsidRPr="006C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EA3" w:rsidRPr="006C3EA3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="006C3EA3" w:rsidRPr="006C3EA3">
        <w:rPr>
          <w:rFonts w:ascii="Times New Roman" w:hAnsi="Times New Roman" w:cs="Times New Roman"/>
          <w:sz w:val="24"/>
          <w:szCs w:val="24"/>
        </w:rPr>
        <w:t xml:space="preserve"> diagnoses. </w:t>
      </w:r>
      <w:proofErr w:type="spellStart"/>
      <w:r w:rsidR="006C3EA3" w:rsidRPr="006C3E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C3EA3" w:rsidRPr="006C3EA3">
        <w:rPr>
          <w:rFonts w:ascii="Times New Roman" w:hAnsi="Times New Roman" w:cs="Times New Roman"/>
          <w:sz w:val="24"/>
          <w:szCs w:val="24"/>
        </w:rPr>
        <w:t xml:space="preserve"> 12% in </w:t>
      </w:r>
      <w:proofErr w:type="spellStart"/>
      <w:r w:rsidR="006C3EA3" w:rsidRPr="006C3EA3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6C3EA3" w:rsidRPr="006C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EA3" w:rsidRPr="006C3EA3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6C3EA3" w:rsidRPr="006C3EA3">
        <w:rPr>
          <w:rFonts w:ascii="Times New Roman" w:hAnsi="Times New Roman" w:cs="Times New Roman"/>
          <w:sz w:val="24"/>
          <w:szCs w:val="24"/>
        </w:rPr>
        <w:t>.</w:t>
      </w:r>
      <w:r w:rsidR="006C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EA3" w:rsidRPr="006C3EA3">
        <w:rPr>
          <w:rFonts w:ascii="Times New Roman" w:hAnsi="Times New Roman" w:cs="Times New Roman"/>
          <w:b/>
          <w:sz w:val="24"/>
          <w:szCs w:val="24"/>
        </w:rPr>
        <w:t>Conclusion</w:t>
      </w:r>
      <w:proofErr w:type="spellEnd"/>
      <w:r w:rsidR="006C3EA3" w:rsidRPr="006C3EA3">
        <w:rPr>
          <w:rFonts w:ascii="Times New Roman" w:hAnsi="Times New Roman" w:cs="Times New Roman"/>
          <w:b/>
          <w:sz w:val="24"/>
          <w:szCs w:val="24"/>
        </w:rPr>
        <w:t>:</w:t>
      </w:r>
      <w:r w:rsidR="006C3EA3" w:rsidRPr="006C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indicators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relative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assigned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F1" w:rsidRPr="006A26F1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="006A26F1" w:rsidRPr="006A26F1">
        <w:rPr>
          <w:rFonts w:ascii="Times New Roman" w:hAnsi="Times New Roman" w:cs="Times New Roman"/>
          <w:sz w:val="24"/>
          <w:szCs w:val="24"/>
        </w:rPr>
        <w:t>.</w:t>
      </w:r>
    </w:p>
    <w:p w14:paraId="2B0134B0" w14:textId="77777777" w:rsidR="006C3EA3" w:rsidRDefault="006C3EA3" w:rsidP="00DE674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5CE4C" w14:textId="77B39774" w:rsidR="00DE6749" w:rsidRDefault="006C3EA3" w:rsidP="00DE6749">
      <w:pPr>
        <w:spacing w:after="160" w:line="259" w:lineRule="auto"/>
        <w:jc w:val="both"/>
        <w:rPr>
          <w:rFonts w:ascii="Times New Roman" w:hAnsi="Times New Roman" w:cs="Times New Roman"/>
        </w:rPr>
      </w:pPr>
      <w:proofErr w:type="spellStart"/>
      <w:r w:rsidRPr="006C3EA3">
        <w:rPr>
          <w:rFonts w:ascii="Times New Roman" w:hAnsi="Times New Roman" w:cs="Times New Roman"/>
        </w:rPr>
        <w:t>Keywords</w:t>
      </w:r>
      <w:proofErr w:type="spellEnd"/>
      <w:r w:rsidRPr="006C3EA3">
        <w:rPr>
          <w:rFonts w:ascii="Times New Roman" w:hAnsi="Times New Roman" w:cs="Times New Roman"/>
        </w:rPr>
        <w:t xml:space="preserve">: </w:t>
      </w:r>
      <w:proofErr w:type="spellStart"/>
      <w:r w:rsidRPr="006C3EA3">
        <w:rPr>
          <w:rFonts w:ascii="Times New Roman" w:hAnsi="Times New Roman" w:cs="Times New Roman"/>
        </w:rPr>
        <w:t>Quality</w:t>
      </w:r>
      <w:proofErr w:type="spellEnd"/>
      <w:r w:rsidRPr="006C3EA3">
        <w:rPr>
          <w:rFonts w:ascii="Times New Roman" w:hAnsi="Times New Roman" w:cs="Times New Roman"/>
        </w:rPr>
        <w:t xml:space="preserve"> </w:t>
      </w:r>
      <w:proofErr w:type="spellStart"/>
      <w:r w:rsidRPr="006C3EA3">
        <w:rPr>
          <w:rFonts w:ascii="Times New Roman" w:hAnsi="Times New Roman" w:cs="Times New Roman"/>
        </w:rPr>
        <w:t>indicators</w:t>
      </w:r>
      <w:proofErr w:type="spellEnd"/>
      <w:r w:rsidRPr="006C3EA3">
        <w:rPr>
          <w:rFonts w:ascii="Times New Roman" w:hAnsi="Times New Roman" w:cs="Times New Roman"/>
        </w:rPr>
        <w:t xml:space="preserve">. </w:t>
      </w:r>
      <w:proofErr w:type="spellStart"/>
      <w:r w:rsidRPr="006C3EA3">
        <w:rPr>
          <w:rFonts w:ascii="Times New Roman" w:hAnsi="Times New Roman" w:cs="Times New Roman"/>
        </w:rPr>
        <w:t>Nutritional</w:t>
      </w:r>
      <w:proofErr w:type="spellEnd"/>
      <w:r w:rsidRPr="006C3EA3">
        <w:rPr>
          <w:rFonts w:ascii="Times New Roman" w:hAnsi="Times New Roman" w:cs="Times New Roman"/>
        </w:rPr>
        <w:t xml:space="preserve"> </w:t>
      </w:r>
      <w:proofErr w:type="spellStart"/>
      <w:r w:rsidRPr="006C3EA3">
        <w:rPr>
          <w:rFonts w:ascii="Times New Roman" w:hAnsi="Times New Roman" w:cs="Times New Roman"/>
        </w:rPr>
        <w:t>therapy</w:t>
      </w:r>
      <w:proofErr w:type="spellEnd"/>
      <w:r w:rsidRPr="006C3EA3">
        <w:rPr>
          <w:rFonts w:ascii="Times New Roman" w:hAnsi="Times New Roman" w:cs="Times New Roman"/>
        </w:rPr>
        <w:t xml:space="preserve">. Enteral </w:t>
      </w:r>
      <w:proofErr w:type="spellStart"/>
      <w:r w:rsidRPr="006C3EA3">
        <w:rPr>
          <w:rFonts w:ascii="Times New Roman" w:hAnsi="Times New Roman" w:cs="Times New Roman"/>
        </w:rPr>
        <w:t>nutrition</w:t>
      </w:r>
      <w:proofErr w:type="spellEnd"/>
      <w:r w:rsidRPr="006C3EA3">
        <w:rPr>
          <w:rFonts w:ascii="Times New Roman" w:hAnsi="Times New Roman" w:cs="Times New Roman"/>
        </w:rPr>
        <w:t>.</w:t>
      </w:r>
    </w:p>
    <w:p w14:paraId="4F90F685" w14:textId="074E1AEC" w:rsidR="00DE6749" w:rsidRDefault="00DE6749" w:rsidP="00DE6749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5A6B719A" w14:textId="66F1FEAE" w:rsidR="00DE6749" w:rsidRDefault="00DE6749" w:rsidP="00DE6749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6CC43BF7" w14:textId="3F3D5C01" w:rsidR="00DE6749" w:rsidRDefault="00DE6749" w:rsidP="00DE6749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2FFF7425" w14:textId="76178ADA" w:rsidR="00DE6749" w:rsidRDefault="00DE6749" w:rsidP="00DE6749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0036BE1E" w14:textId="4F282E2F" w:rsidR="00DE6749" w:rsidRDefault="00DE6749" w:rsidP="00DE6749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1F8D78B8" w14:textId="684EFAEF" w:rsidR="00DE6749" w:rsidRDefault="00DE6749" w:rsidP="00DE6749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38FD891A" w14:textId="77777777" w:rsidR="006C3EA3" w:rsidRPr="00DE6749" w:rsidRDefault="006C3EA3" w:rsidP="00DE6749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62E4E577" w14:textId="620A8518" w:rsidR="00A13D2E" w:rsidRDefault="00A13D2E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848">
        <w:rPr>
          <w:rFonts w:ascii="Times New Roman" w:hAnsi="Times New Roman" w:cs="Times New Roman"/>
          <w:sz w:val="24"/>
          <w:szCs w:val="24"/>
        </w:rPr>
        <w:lastRenderedPageBreak/>
        <w:t>INTRODUÇÃO</w:t>
      </w:r>
    </w:p>
    <w:p w14:paraId="48A0C8E1" w14:textId="77777777" w:rsidR="00E83E39" w:rsidRDefault="00E83E39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3E578" w14:textId="77777777" w:rsidR="00A13D2E" w:rsidRPr="002E5848" w:rsidRDefault="005F2ED3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848">
        <w:rPr>
          <w:rFonts w:ascii="Times New Roman" w:hAnsi="Times New Roman" w:cs="Times New Roman"/>
          <w:sz w:val="24"/>
          <w:szCs w:val="24"/>
        </w:rPr>
        <w:t>A desnutrição</w:t>
      </w:r>
      <w:r w:rsidR="00B11190">
        <w:rPr>
          <w:rFonts w:ascii="Times New Roman" w:hAnsi="Times New Roman" w:cs="Times New Roman"/>
          <w:sz w:val="24"/>
          <w:szCs w:val="24"/>
        </w:rPr>
        <w:t xml:space="preserve"> </w:t>
      </w:r>
      <w:r w:rsidRPr="002E5848">
        <w:rPr>
          <w:rFonts w:ascii="Times New Roman" w:hAnsi="Times New Roman" w:cs="Times New Roman"/>
          <w:sz w:val="24"/>
          <w:szCs w:val="24"/>
        </w:rPr>
        <w:t>é definida como deficiência de nutrientes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5848">
        <w:rPr>
          <w:rFonts w:ascii="Times New Roman" w:hAnsi="Times New Roman" w:cs="Times New Roman"/>
          <w:sz w:val="24"/>
          <w:szCs w:val="24"/>
        </w:rPr>
        <w:t xml:space="preserve"> levando a alterações na composição corporal, acarretando prejuízos </w:t>
      </w:r>
      <w:r w:rsidR="0002602F" w:rsidRPr="002E5848">
        <w:rPr>
          <w:rFonts w:ascii="Times New Roman" w:hAnsi="Times New Roman" w:cs="Times New Roman"/>
          <w:sz w:val="24"/>
          <w:szCs w:val="24"/>
        </w:rPr>
        <w:t>à</w:t>
      </w:r>
      <w:r w:rsidRPr="002E5848">
        <w:rPr>
          <w:rFonts w:ascii="Times New Roman" w:hAnsi="Times New Roman" w:cs="Times New Roman"/>
          <w:sz w:val="24"/>
          <w:szCs w:val="24"/>
        </w:rPr>
        <w:t xml:space="preserve"> saúde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5848">
        <w:rPr>
          <w:rFonts w:ascii="Times New Roman" w:hAnsi="Times New Roman" w:cs="Times New Roman"/>
          <w:sz w:val="24"/>
          <w:szCs w:val="24"/>
        </w:rPr>
        <w:t xml:space="preserve"> como imunidade baixa, retardo no processo de cicatrização, aumento da probabilidade de complicações cirúrgicas e infecciosas, maior tempo de internação aumentando o risco de mortalidade, essas condições são frequentemente encontradas no ambiente hospitalar (</w:t>
      </w:r>
      <w:r>
        <w:rPr>
          <w:rFonts w:ascii="Times New Roman" w:hAnsi="Times New Roman" w:cs="Times New Roman"/>
          <w:sz w:val="24"/>
          <w:szCs w:val="24"/>
        </w:rPr>
        <w:t>CARMO</w:t>
      </w:r>
      <w:r w:rsidRPr="002E5848">
        <w:rPr>
          <w:rFonts w:ascii="Times New Roman" w:hAnsi="Times New Roman" w:cs="Times New Roman"/>
          <w:sz w:val="24"/>
          <w:szCs w:val="24"/>
        </w:rPr>
        <w:t>, 2018).</w:t>
      </w:r>
    </w:p>
    <w:p w14:paraId="2015F3EF" w14:textId="053BEB60" w:rsidR="004F3B17" w:rsidRDefault="005F2ED3" w:rsidP="005F2ED3">
      <w:pPr>
        <w:tabs>
          <w:tab w:val="left" w:pos="34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ano de 2018,</w:t>
      </w:r>
      <w:r w:rsidRPr="002E5848">
        <w:rPr>
          <w:rFonts w:ascii="Times New Roman" w:hAnsi="Times New Roman" w:cs="Times New Roman"/>
          <w:sz w:val="24"/>
          <w:szCs w:val="24"/>
        </w:rPr>
        <w:t xml:space="preserve"> com o objetivo de reduzir o índice de desnutrição hospitalar </w:t>
      </w:r>
      <w:r w:rsidR="00A13D2E" w:rsidRPr="002E5848">
        <w:rPr>
          <w:rFonts w:ascii="Times New Roman" w:hAnsi="Times New Roman" w:cs="Times New Roman"/>
          <w:sz w:val="24"/>
          <w:szCs w:val="24"/>
        </w:rPr>
        <w:t>foi lançado a campanha Diga Não à Desnutrição promovido pela BRASPEN (Sociedade Brasileira de Nutrição Enteral e Parenteral</w:t>
      </w:r>
      <w:r w:rsidRPr="007C4FDF">
        <w:rPr>
          <w:rFonts w:ascii="Times New Roman" w:hAnsi="Times New Roman" w:cs="Times New Roman"/>
          <w:sz w:val="24"/>
          <w:szCs w:val="24"/>
        </w:rPr>
        <w:t xml:space="preserve">). </w:t>
      </w:r>
      <w:r w:rsidR="004F3B17">
        <w:rPr>
          <w:rFonts w:ascii="Times New Roman" w:hAnsi="Times New Roman" w:cs="Times New Roman"/>
          <w:sz w:val="24"/>
          <w:szCs w:val="24"/>
        </w:rPr>
        <w:t>A partir</w:t>
      </w:r>
      <w:r w:rsidR="00A13D2E" w:rsidRPr="002E5848">
        <w:rPr>
          <w:rFonts w:ascii="Times New Roman" w:hAnsi="Times New Roman" w:cs="Times New Roman"/>
          <w:sz w:val="24"/>
          <w:szCs w:val="24"/>
        </w:rPr>
        <w:t xml:space="preserve"> da campanha foi criado os 11 passos para combater a doença com o método mnemônico que utiliza as iniciais da palavra “DESNUTRIÇÃO”, facilitando a memorização e a aplicação (TOLEDO </w:t>
      </w:r>
      <w:r w:rsidR="00A13D2E" w:rsidRPr="005F2ED3">
        <w:rPr>
          <w:rFonts w:ascii="Times New Roman" w:hAnsi="Times New Roman" w:cs="Times New Roman"/>
          <w:i/>
          <w:sz w:val="24"/>
          <w:szCs w:val="24"/>
        </w:rPr>
        <w:t>et al</w:t>
      </w:r>
      <w:r w:rsidR="00A13D2E" w:rsidRPr="002E5848">
        <w:rPr>
          <w:rFonts w:ascii="Times New Roman" w:hAnsi="Times New Roman" w:cs="Times New Roman"/>
          <w:sz w:val="24"/>
          <w:szCs w:val="24"/>
        </w:rPr>
        <w:t>, 2018).</w:t>
      </w:r>
    </w:p>
    <w:p w14:paraId="44C88D23" w14:textId="0EDAEDF1" w:rsidR="005F2ED3" w:rsidRDefault="004F3B17" w:rsidP="005F2ED3">
      <w:pPr>
        <w:tabs>
          <w:tab w:val="left" w:pos="34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A Equipe Multidisciplinar de Terapia Nutricional – EMTN, é um grupo formado obrigatoriamente por profissionais</w:t>
      </w:r>
      <w:r w:rsidR="00831FC2">
        <w:rPr>
          <w:rFonts w:ascii="Times New Roman" w:hAnsi="Times New Roman" w:cs="Times New Roman"/>
          <w:sz w:val="24"/>
          <w:szCs w:val="24"/>
        </w:rPr>
        <w:t xml:space="preserve"> habilitados e com treinamento especifico para a prática de terapia nutricional</w:t>
      </w:r>
      <w:r>
        <w:rPr>
          <w:rFonts w:ascii="Times New Roman" w:hAnsi="Times New Roman" w:cs="Times New Roman"/>
          <w:sz w:val="24"/>
          <w:szCs w:val="24"/>
        </w:rPr>
        <w:t>, atuando um médico, nutricionista, enfermeiro e farmacêutico</w:t>
      </w:r>
      <w:r w:rsidR="00831FC2">
        <w:rPr>
          <w:rFonts w:ascii="Times New Roman" w:hAnsi="Times New Roman" w:cs="Times New Roman"/>
          <w:sz w:val="24"/>
          <w:szCs w:val="24"/>
        </w:rPr>
        <w:t>, a mesma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FC2">
        <w:rPr>
          <w:rFonts w:ascii="Times New Roman" w:hAnsi="Times New Roman" w:cs="Times New Roman"/>
          <w:sz w:val="24"/>
          <w:szCs w:val="24"/>
        </w:rPr>
        <w:t>r</w:t>
      </w:r>
      <w:r w:rsidR="005F2ED3">
        <w:rPr>
          <w:rFonts w:ascii="Times New Roman" w:hAnsi="Times New Roman" w:cs="Times New Roman"/>
          <w:sz w:val="24"/>
          <w:szCs w:val="24"/>
        </w:rPr>
        <w:t>ecomenda-se</w:t>
      </w:r>
      <w:r w:rsidR="005F2ED3" w:rsidRPr="002E5848">
        <w:rPr>
          <w:rFonts w:ascii="Times New Roman" w:hAnsi="Times New Roman" w:cs="Times New Roman"/>
          <w:sz w:val="24"/>
          <w:szCs w:val="24"/>
        </w:rPr>
        <w:t xml:space="preserve"> que o paciente nas primeiras horas de internação tenha oferta de proteínas e micronutrientes, evitand</w:t>
      </w:r>
      <w:r w:rsidR="0002602F">
        <w:rPr>
          <w:rFonts w:ascii="Times New Roman" w:hAnsi="Times New Roman" w:cs="Times New Roman"/>
          <w:sz w:val="24"/>
          <w:szCs w:val="24"/>
        </w:rPr>
        <w:t>o ou diminuindo a progressão de</w:t>
      </w:r>
      <w:r w:rsidR="005F2ED3" w:rsidRPr="002E5848">
        <w:rPr>
          <w:rFonts w:ascii="Times New Roman" w:hAnsi="Times New Roman" w:cs="Times New Roman"/>
          <w:sz w:val="24"/>
          <w:szCs w:val="24"/>
        </w:rPr>
        <w:t xml:space="preserve"> doenças, a cicatrização das feridas e a melhora do estado </w:t>
      </w:r>
      <w:r w:rsidR="00831FC2">
        <w:rPr>
          <w:rFonts w:ascii="Times New Roman" w:hAnsi="Times New Roman" w:cs="Times New Roman"/>
          <w:sz w:val="24"/>
          <w:szCs w:val="24"/>
        </w:rPr>
        <w:t>nutricional</w:t>
      </w:r>
      <w:r w:rsidR="005F2ED3" w:rsidRPr="002E5848">
        <w:rPr>
          <w:rFonts w:ascii="Times New Roman" w:hAnsi="Times New Roman" w:cs="Times New Roman"/>
          <w:sz w:val="24"/>
          <w:szCs w:val="24"/>
        </w:rPr>
        <w:t xml:space="preserve"> (GANDOLFO </w:t>
      </w:r>
      <w:r w:rsidR="005F2ED3" w:rsidRPr="0002602F">
        <w:rPr>
          <w:rFonts w:ascii="Times New Roman" w:hAnsi="Times New Roman" w:cs="Times New Roman"/>
          <w:i/>
          <w:sz w:val="24"/>
          <w:szCs w:val="24"/>
        </w:rPr>
        <w:t>et al</w:t>
      </w:r>
      <w:r w:rsidR="005F2ED3" w:rsidRPr="002E5848">
        <w:rPr>
          <w:rFonts w:ascii="Times New Roman" w:hAnsi="Times New Roman" w:cs="Times New Roman"/>
          <w:sz w:val="24"/>
          <w:szCs w:val="24"/>
        </w:rPr>
        <w:t xml:space="preserve">, 2017).  </w:t>
      </w:r>
    </w:p>
    <w:p w14:paraId="5CDB518C" w14:textId="00D3D591" w:rsidR="00432927" w:rsidRDefault="005F2ED3" w:rsidP="00A13D2E">
      <w:pPr>
        <w:tabs>
          <w:tab w:val="left" w:pos="34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</w:t>
      </w:r>
      <w:r w:rsidR="009E5D92">
        <w:rPr>
          <w:rFonts w:ascii="Times New Roman" w:hAnsi="Times New Roman" w:cs="Times New Roman"/>
          <w:sz w:val="24"/>
          <w:szCs w:val="24"/>
        </w:rPr>
        <w:t>observado a desnutrição</w:t>
      </w:r>
      <w:r w:rsidR="009E5D92" w:rsidRPr="002E5848">
        <w:rPr>
          <w:rFonts w:ascii="Times New Roman" w:hAnsi="Times New Roman" w:cs="Times New Roman"/>
          <w:sz w:val="24"/>
          <w:szCs w:val="24"/>
        </w:rPr>
        <w:t xml:space="preserve"> </w:t>
      </w:r>
      <w:r w:rsidR="009E5D92">
        <w:rPr>
          <w:rFonts w:ascii="Times New Roman" w:hAnsi="Times New Roman" w:cs="Times New Roman"/>
          <w:sz w:val="24"/>
          <w:szCs w:val="24"/>
        </w:rPr>
        <w:t>e/</w:t>
      </w:r>
      <w:r w:rsidR="009E5D92" w:rsidRPr="002E5848">
        <w:rPr>
          <w:rFonts w:ascii="Times New Roman" w:hAnsi="Times New Roman" w:cs="Times New Roman"/>
          <w:sz w:val="24"/>
          <w:szCs w:val="24"/>
        </w:rPr>
        <w:t>o</w:t>
      </w:r>
      <w:r w:rsidR="009E5D92">
        <w:rPr>
          <w:rFonts w:ascii="Times New Roman" w:hAnsi="Times New Roman" w:cs="Times New Roman"/>
          <w:sz w:val="24"/>
          <w:szCs w:val="24"/>
        </w:rPr>
        <w:t>u</w:t>
      </w:r>
      <w:r w:rsidR="009E5D92" w:rsidRPr="002E5848">
        <w:rPr>
          <w:rFonts w:ascii="Times New Roman" w:hAnsi="Times New Roman" w:cs="Times New Roman"/>
          <w:sz w:val="24"/>
          <w:szCs w:val="24"/>
        </w:rPr>
        <w:t xml:space="preserve"> paciente encontra-se impossibilitado de se alimentar por via oral ou a ingestão alimentar é abaixo de 60%, </w:t>
      </w:r>
      <w:r w:rsidR="009E5D92">
        <w:rPr>
          <w:rFonts w:ascii="Times New Roman" w:hAnsi="Times New Roman" w:cs="Times New Roman"/>
          <w:sz w:val="24"/>
          <w:szCs w:val="24"/>
        </w:rPr>
        <w:t>porém</w:t>
      </w:r>
      <w:r w:rsidR="009E5D92" w:rsidRPr="002E5848">
        <w:rPr>
          <w:rFonts w:ascii="Times New Roman" w:hAnsi="Times New Roman" w:cs="Times New Roman"/>
          <w:sz w:val="24"/>
          <w:szCs w:val="24"/>
        </w:rPr>
        <w:t xml:space="preserve"> possui o trato gastrointestinal funcionante</w:t>
      </w:r>
      <w:r w:rsidR="009E5D92">
        <w:rPr>
          <w:rFonts w:ascii="Times New Roman" w:hAnsi="Times New Roman" w:cs="Times New Roman"/>
          <w:sz w:val="24"/>
          <w:szCs w:val="24"/>
        </w:rPr>
        <w:t>, recomenda-se na maioria das vezes terapia nutricional enteral</w:t>
      </w:r>
      <w:r w:rsidR="00E83E39">
        <w:rPr>
          <w:rFonts w:ascii="Times New Roman" w:hAnsi="Times New Roman" w:cs="Times New Roman"/>
          <w:sz w:val="24"/>
          <w:szCs w:val="24"/>
        </w:rPr>
        <w:t xml:space="preserve"> (NE)</w:t>
      </w:r>
      <w:r>
        <w:rPr>
          <w:rFonts w:ascii="Times New Roman" w:hAnsi="Times New Roman" w:cs="Times New Roman"/>
          <w:sz w:val="24"/>
          <w:szCs w:val="24"/>
        </w:rPr>
        <w:t>, que</w:t>
      </w:r>
      <w:r w:rsidR="00A13D2E" w:rsidRPr="002E5848">
        <w:rPr>
          <w:rFonts w:ascii="Times New Roman" w:hAnsi="Times New Roman" w:cs="Times New Roman"/>
          <w:sz w:val="24"/>
          <w:szCs w:val="24"/>
        </w:rPr>
        <w:t xml:space="preserve"> é uma via de alimentação por sonda</w:t>
      </w:r>
      <w:r w:rsidR="009E5D92">
        <w:rPr>
          <w:rFonts w:ascii="Times New Roman" w:hAnsi="Times New Roman" w:cs="Times New Roman"/>
          <w:sz w:val="24"/>
          <w:szCs w:val="24"/>
        </w:rPr>
        <w:t>,</w:t>
      </w:r>
      <w:r w:rsidR="00A13D2E" w:rsidRPr="002E5848">
        <w:rPr>
          <w:rFonts w:ascii="Times New Roman" w:hAnsi="Times New Roman" w:cs="Times New Roman"/>
          <w:sz w:val="24"/>
          <w:szCs w:val="24"/>
        </w:rPr>
        <w:t xml:space="preserve"> </w:t>
      </w:r>
      <w:r w:rsidR="009E5D92">
        <w:rPr>
          <w:rFonts w:ascii="Times New Roman" w:hAnsi="Times New Roman" w:cs="Times New Roman"/>
          <w:sz w:val="24"/>
          <w:szCs w:val="24"/>
        </w:rPr>
        <w:t>s</w:t>
      </w:r>
      <w:r w:rsidR="00A13D2E" w:rsidRPr="002E5848">
        <w:rPr>
          <w:rFonts w:ascii="Times New Roman" w:hAnsi="Times New Roman" w:cs="Times New Roman"/>
          <w:sz w:val="24"/>
          <w:szCs w:val="24"/>
        </w:rPr>
        <w:t xml:space="preserve">endo as principais vias de acesso nasogástrica, nasoduodenal, nasojejunal, gastrostomia e jejunostomia (SANTOS </w:t>
      </w:r>
      <w:r w:rsidR="00A13D2E" w:rsidRPr="00D8687C">
        <w:rPr>
          <w:rFonts w:ascii="Times New Roman" w:hAnsi="Times New Roman" w:cs="Times New Roman"/>
          <w:i/>
          <w:sz w:val="24"/>
          <w:szCs w:val="24"/>
        </w:rPr>
        <w:t>et al</w:t>
      </w:r>
      <w:r w:rsidR="00A13D2E" w:rsidRPr="002E5848">
        <w:rPr>
          <w:rFonts w:ascii="Times New Roman" w:hAnsi="Times New Roman" w:cs="Times New Roman"/>
          <w:sz w:val="24"/>
          <w:szCs w:val="24"/>
        </w:rPr>
        <w:t xml:space="preserve">, 2018). </w:t>
      </w:r>
    </w:p>
    <w:p w14:paraId="64D45840" w14:textId="77777777" w:rsidR="00134900" w:rsidRPr="002E5848" w:rsidRDefault="005F2ED3" w:rsidP="00A13D2E">
      <w:pPr>
        <w:tabs>
          <w:tab w:val="left" w:pos="34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Outra via de alimentação</w:t>
      </w:r>
      <w:r w:rsidR="00432927">
        <w:rPr>
          <w:rFonts w:ascii="Times New Roman" w:hAnsi="Times New Roman" w:cs="Times New Roman"/>
          <w:sz w:val="24"/>
          <w:szCs w:val="24"/>
        </w:rPr>
        <w:t xml:space="preserve"> é a</w:t>
      </w:r>
      <w:r w:rsidR="008D1271">
        <w:rPr>
          <w:rFonts w:ascii="Times New Roman" w:hAnsi="Times New Roman" w:cs="Times New Roman"/>
          <w:sz w:val="24"/>
          <w:szCs w:val="24"/>
        </w:rPr>
        <w:t xml:space="preserve"> </w:t>
      </w:r>
      <w:r w:rsidR="00432927">
        <w:rPr>
          <w:rFonts w:ascii="Times New Roman" w:hAnsi="Times New Roman" w:cs="Times New Roman"/>
          <w:sz w:val="24"/>
          <w:szCs w:val="24"/>
        </w:rPr>
        <w:t>nutrição parenteral (NP), sua</w:t>
      </w:r>
      <w:r w:rsidR="005C2616">
        <w:rPr>
          <w:rFonts w:ascii="Times New Roman" w:hAnsi="Times New Roman" w:cs="Times New Roman"/>
          <w:sz w:val="24"/>
          <w:szCs w:val="24"/>
        </w:rPr>
        <w:t xml:space="preserve"> administração </w:t>
      </w:r>
      <w:r w:rsidR="00432927">
        <w:rPr>
          <w:rFonts w:ascii="Times New Roman" w:hAnsi="Times New Roman" w:cs="Times New Roman"/>
          <w:sz w:val="24"/>
          <w:szCs w:val="24"/>
        </w:rPr>
        <w:t xml:space="preserve">é </w:t>
      </w:r>
      <w:r w:rsidR="005C2616">
        <w:rPr>
          <w:rFonts w:ascii="Times New Roman" w:hAnsi="Times New Roman" w:cs="Times New Roman"/>
          <w:sz w:val="24"/>
          <w:szCs w:val="24"/>
        </w:rPr>
        <w:t xml:space="preserve">intravenosa indicada quando o paciente apresentar desnutrição </w:t>
      </w:r>
      <w:r w:rsidR="00BA3B6B">
        <w:rPr>
          <w:rFonts w:ascii="Times New Roman" w:hAnsi="Times New Roman" w:cs="Times New Roman"/>
          <w:sz w:val="24"/>
          <w:szCs w:val="24"/>
        </w:rPr>
        <w:t>moderada ou grave, o trato gastrointestinal não funcionante e</w:t>
      </w:r>
      <w:r w:rsidR="005C2616">
        <w:rPr>
          <w:rFonts w:ascii="Times New Roman" w:hAnsi="Times New Roman" w:cs="Times New Roman"/>
          <w:sz w:val="24"/>
          <w:szCs w:val="24"/>
        </w:rPr>
        <w:t xml:space="preserve"> quando a oferta por via enteral for insuficiente</w:t>
      </w:r>
      <w:r w:rsidR="00BA3B6B">
        <w:rPr>
          <w:rFonts w:ascii="Times New Roman" w:hAnsi="Times New Roman" w:cs="Times New Roman"/>
          <w:sz w:val="24"/>
          <w:szCs w:val="24"/>
        </w:rPr>
        <w:t>. Sendo as vias de acesso periférica e central (Brasil, 1998).</w:t>
      </w:r>
    </w:p>
    <w:p w14:paraId="414A7AC6" w14:textId="77777777" w:rsidR="003346B3" w:rsidRPr="003346B3" w:rsidRDefault="003346B3" w:rsidP="00484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B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Durante a terapia nutricional os indicadores de qualidade são importantes instrumentos de avaliação e monitoramento, com o objetivo de identificar possíveis dificuldades e falhas relacionadas aos protocolos de cuidados nutricionais ministrados aos pacientes </w:t>
      </w:r>
      <w:r w:rsidRPr="003346B3">
        <w:rPr>
          <w:rFonts w:ascii="Times New Roman" w:hAnsi="Times New Roman" w:cs="Times New Roman"/>
          <w:sz w:val="24"/>
          <w:szCs w:val="24"/>
        </w:rPr>
        <w:t xml:space="preserve">(TOLEDO </w:t>
      </w:r>
      <w:r w:rsidRPr="00D8687C">
        <w:rPr>
          <w:rFonts w:ascii="Times New Roman" w:hAnsi="Times New Roman" w:cs="Times New Roman"/>
          <w:i/>
          <w:sz w:val="24"/>
          <w:szCs w:val="24"/>
        </w:rPr>
        <w:t>et al</w:t>
      </w:r>
      <w:r w:rsidRPr="003346B3">
        <w:rPr>
          <w:rFonts w:ascii="Times New Roman" w:hAnsi="Times New Roman" w:cs="Times New Roman"/>
          <w:sz w:val="24"/>
          <w:szCs w:val="24"/>
        </w:rPr>
        <w:t>, 2018).</w:t>
      </w:r>
    </w:p>
    <w:p w14:paraId="6154CA81" w14:textId="36F65AC8" w:rsidR="00A13D2E" w:rsidRPr="002E5848" w:rsidRDefault="009F6EF0" w:rsidP="00484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fim de obter u</w:t>
      </w:r>
      <w:r w:rsidR="00A13D2E" w:rsidRPr="002E5848">
        <w:rPr>
          <w:rFonts w:ascii="Times New Roman" w:hAnsi="Times New Roman" w:cs="Times New Roman"/>
          <w:sz w:val="24"/>
          <w:szCs w:val="24"/>
        </w:rPr>
        <w:t xml:space="preserve">m bom estado nutricional de pacientes hospitalizados deve-se garantir a eficiência da aplicação de indicadores de qualidade, procedendo melhores resultados </w:t>
      </w:r>
      <w:r w:rsidR="00A13D2E" w:rsidRPr="002E5848">
        <w:rPr>
          <w:rFonts w:ascii="Times New Roman" w:hAnsi="Times New Roman" w:cs="Times New Roman"/>
          <w:sz w:val="24"/>
          <w:szCs w:val="24"/>
        </w:rPr>
        <w:lastRenderedPageBreak/>
        <w:t>clínicos, diminuição de tempo de internação e de qualidade de vida dos pacientes (SOUZA, 2016)</w:t>
      </w:r>
      <w:r w:rsidR="00A13D2E">
        <w:rPr>
          <w:rFonts w:ascii="Times New Roman" w:hAnsi="Times New Roman" w:cs="Times New Roman"/>
          <w:sz w:val="24"/>
          <w:szCs w:val="24"/>
        </w:rPr>
        <w:t>.</w:t>
      </w:r>
    </w:p>
    <w:p w14:paraId="0CE9A922" w14:textId="77777777" w:rsidR="00A13D2E" w:rsidRPr="002E5848" w:rsidRDefault="00A13D2E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062D5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D0B0C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FA9B7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5D801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177EE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00F58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86151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F2614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9A784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7668B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42D59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1F172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A02EB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6F4E8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34DB4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D9346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C785E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DEDE6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50DA4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0D327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1FF3E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553E7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A3A93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21BA4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6357D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44816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A9907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6F419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B4C37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511D9" w14:textId="77777777" w:rsidR="008A2946" w:rsidRDefault="008A2946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04F9A" w14:textId="77777777" w:rsidR="006A26F1" w:rsidRDefault="006A26F1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A30E6" w14:textId="162B56DE" w:rsidR="00A13D2E" w:rsidRDefault="00A13D2E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848">
        <w:rPr>
          <w:rFonts w:ascii="Times New Roman" w:hAnsi="Times New Roman" w:cs="Times New Roman"/>
          <w:sz w:val="24"/>
          <w:szCs w:val="24"/>
        </w:rPr>
        <w:lastRenderedPageBreak/>
        <w:t xml:space="preserve">OBJETIVO </w:t>
      </w:r>
      <w:r>
        <w:rPr>
          <w:rFonts w:ascii="Times New Roman" w:hAnsi="Times New Roman" w:cs="Times New Roman"/>
          <w:sz w:val="24"/>
          <w:szCs w:val="24"/>
        </w:rPr>
        <w:t>GERAL</w:t>
      </w:r>
    </w:p>
    <w:p w14:paraId="5102E68F" w14:textId="77777777" w:rsidR="00A13D2E" w:rsidRDefault="001452BB" w:rsidP="00732878">
      <w:pPr>
        <w:spacing w:after="0" w:line="360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Correlacionar</w:t>
      </w:r>
      <w:r w:rsidRPr="002E5848">
        <w:rPr>
          <w:rFonts w:ascii="Times New Roman" w:hAnsi="Times New Roman" w:cs="Times New Roman"/>
          <w:sz w:val="24"/>
          <w:szCs w:val="24"/>
        </w:rPr>
        <w:t xml:space="preserve"> o estado nutricional de pacientes hos</w:t>
      </w:r>
      <w:r>
        <w:rPr>
          <w:rFonts w:ascii="Times New Roman" w:hAnsi="Times New Roman" w:cs="Times New Roman"/>
          <w:sz w:val="24"/>
          <w:szCs w:val="24"/>
        </w:rPr>
        <w:t xml:space="preserve">pitalizados em terapia enteral e parenteral por </w:t>
      </w:r>
      <w:r w:rsidRPr="002E5848">
        <w:rPr>
          <w:rFonts w:ascii="Times New Roman" w:hAnsi="Times New Roman" w:cs="Times New Roman"/>
          <w:sz w:val="24"/>
          <w:szCs w:val="24"/>
        </w:rPr>
        <w:t>indicadores de qualidade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53D14A" w14:textId="77777777" w:rsidR="00732878" w:rsidRPr="002E5848" w:rsidRDefault="00732878" w:rsidP="007328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0FFD0" w14:textId="77777777" w:rsidR="00A13D2E" w:rsidRPr="00732878" w:rsidRDefault="00A13D2E" w:rsidP="0073287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878">
        <w:rPr>
          <w:rFonts w:ascii="Times New Roman" w:hAnsi="Times New Roman" w:cs="Times New Roman"/>
          <w:sz w:val="24"/>
          <w:szCs w:val="24"/>
        </w:rPr>
        <w:t>OBJETIVO ESPECÍFICO</w:t>
      </w:r>
    </w:p>
    <w:p w14:paraId="06B2B930" w14:textId="77777777" w:rsidR="001452BB" w:rsidRDefault="001452BB" w:rsidP="0073287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878">
        <w:rPr>
          <w:rFonts w:ascii="Times New Roman" w:hAnsi="Times New Roman" w:cs="Times New Roman"/>
          <w:sz w:val="24"/>
          <w:szCs w:val="24"/>
        </w:rPr>
        <w:t>Avaliar</w:t>
      </w:r>
      <w:r w:rsidRPr="002E5848">
        <w:rPr>
          <w:rFonts w:ascii="Times New Roman" w:hAnsi="Times New Roman" w:cs="Times New Roman"/>
          <w:sz w:val="24"/>
          <w:szCs w:val="24"/>
        </w:rPr>
        <w:t xml:space="preserve"> os Indicadores de Qualidade em Terapia Nutricional em pacientes hospitalizados em um hospital de câncer.</w:t>
      </w:r>
    </w:p>
    <w:p w14:paraId="11772C20" w14:textId="72B1AE8D" w:rsidR="00D813C1" w:rsidRPr="002E5848" w:rsidRDefault="00D813C1" w:rsidP="0073287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 o estado nutricional dos pacientes internados no hospital e em terapia nutricional</w:t>
      </w:r>
      <w:r w:rsidR="009F6EF0">
        <w:rPr>
          <w:rFonts w:ascii="Times New Roman" w:hAnsi="Times New Roman" w:cs="Times New Roman"/>
          <w:sz w:val="24"/>
          <w:szCs w:val="24"/>
        </w:rPr>
        <w:t xml:space="preserve"> enteral e parenteral.</w:t>
      </w:r>
    </w:p>
    <w:p w14:paraId="23E47841" w14:textId="77777777" w:rsidR="00A13D2E" w:rsidRPr="002E5848" w:rsidRDefault="00A13D2E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62B09" w14:textId="77777777" w:rsidR="00A13D2E" w:rsidRDefault="00A13D2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0DAE72" w14:textId="77777777" w:rsidR="00A13D2E" w:rsidRDefault="00A13D2E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MATERIAIS E MÉTODOS</w:t>
      </w:r>
    </w:p>
    <w:p w14:paraId="3AEA0B67" w14:textId="77777777" w:rsidR="00A13D2E" w:rsidRDefault="00A13D2E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44CE7" w14:textId="4E3D6A79" w:rsidR="007913AF" w:rsidRDefault="007913AF" w:rsidP="00A13D2E">
      <w:pPr>
        <w:spacing w:after="0" w:line="360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estudo foi</w:t>
      </w:r>
      <w:r w:rsidR="00A13D2E" w:rsidRPr="002E5848">
        <w:rPr>
          <w:rFonts w:ascii="Times New Roman" w:hAnsi="Times New Roman" w:cs="Times New Roman"/>
          <w:sz w:val="24"/>
          <w:szCs w:val="24"/>
        </w:rPr>
        <w:t xml:space="preserve"> do tipo transversal e quantita</w:t>
      </w:r>
      <w:r>
        <w:rPr>
          <w:rFonts w:ascii="Times New Roman" w:hAnsi="Times New Roman" w:cs="Times New Roman"/>
          <w:sz w:val="24"/>
          <w:szCs w:val="24"/>
        </w:rPr>
        <w:t xml:space="preserve">tivo. </w:t>
      </w:r>
      <w:r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O projeto foi</w:t>
      </w:r>
      <w:r w:rsidRPr="00A13D2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aprovado pelo comitê de ética em pesquisa (CEP) do Centro Universitário de Várzea Grande – UNIVAG, sob número</w:t>
      </w:r>
      <w:r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0B7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2.887.</w:t>
      </w:r>
      <w:r w:rsidR="007F018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551. </w:t>
      </w:r>
    </w:p>
    <w:p w14:paraId="47266224" w14:textId="268FE6A2" w:rsidR="0059544B" w:rsidRDefault="007913AF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O levantamento de dados foi realizado no período de agosto e setembro de 2018</w:t>
      </w:r>
      <w:r w:rsidR="00744901">
        <w:rPr>
          <w:rFonts w:ascii="Times New Roman" w:hAnsi="Times New Roman" w:cs="Times New Roman"/>
          <w:sz w:val="24"/>
          <w:szCs w:val="24"/>
        </w:rPr>
        <w:t>, onde foram avaliados</w:t>
      </w:r>
      <w:r w:rsidR="00A13D2E">
        <w:rPr>
          <w:rFonts w:ascii="Times New Roman" w:hAnsi="Times New Roman" w:cs="Times New Roman"/>
          <w:sz w:val="24"/>
          <w:szCs w:val="24"/>
        </w:rPr>
        <w:t xml:space="preserve"> 50 pacientes, de ambos os sexos, adultos e idosos </w:t>
      </w:r>
      <w:r w:rsidR="00A13D2E" w:rsidRPr="002E5848">
        <w:rPr>
          <w:rFonts w:ascii="Times New Roman" w:hAnsi="Times New Roman" w:cs="Times New Roman"/>
          <w:sz w:val="24"/>
          <w:szCs w:val="24"/>
        </w:rPr>
        <w:t>em terapia nutrici</w:t>
      </w:r>
      <w:r w:rsidR="00A13D2E">
        <w:rPr>
          <w:rFonts w:ascii="Times New Roman" w:hAnsi="Times New Roman" w:cs="Times New Roman"/>
          <w:sz w:val="24"/>
          <w:szCs w:val="24"/>
        </w:rPr>
        <w:t>onal enteral</w:t>
      </w:r>
      <w:r>
        <w:rPr>
          <w:rFonts w:ascii="Times New Roman" w:hAnsi="Times New Roman" w:cs="Times New Roman"/>
          <w:sz w:val="24"/>
          <w:szCs w:val="24"/>
        </w:rPr>
        <w:t xml:space="preserve"> e parenteral</w:t>
      </w:r>
      <w:r w:rsidR="007C6E81">
        <w:rPr>
          <w:rFonts w:ascii="Times New Roman" w:hAnsi="Times New Roman" w:cs="Times New Roman"/>
          <w:sz w:val="24"/>
          <w:szCs w:val="24"/>
        </w:rPr>
        <w:t xml:space="preserve"> </w:t>
      </w:r>
      <w:r w:rsidR="00A13D2E" w:rsidRPr="002E5848">
        <w:rPr>
          <w:rFonts w:ascii="Times New Roman" w:hAnsi="Times New Roman" w:cs="Times New Roman"/>
          <w:sz w:val="24"/>
          <w:szCs w:val="24"/>
        </w:rPr>
        <w:t>internados</w:t>
      </w:r>
      <w:r w:rsidR="00A13D2E">
        <w:rPr>
          <w:rFonts w:ascii="Times New Roman" w:hAnsi="Times New Roman" w:cs="Times New Roman"/>
          <w:sz w:val="24"/>
          <w:szCs w:val="24"/>
        </w:rPr>
        <w:t xml:space="preserve"> </w:t>
      </w:r>
      <w:r w:rsidR="00A13D2E" w:rsidRPr="007C4FDF">
        <w:rPr>
          <w:rFonts w:ascii="Times New Roman" w:hAnsi="Times New Roman" w:cs="Times New Roman"/>
          <w:sz w:val="24"/>
          <w:szCs w:val="24"/>
        </w:rPr>
        <w:t>na</w:t>
      </w:r>
      <w:r w:rsidR="007C6E81" w:rsidRPr="007C4FDF">
        <w:rPr>
          <w:rFonts w:ascii="Times New Roman" w:hAnsi="Times New Roman" w:cs="Times New Roman"/>
          <w:sz w:val="24"/>
          <w:szCs w:val="24"/>
        </w:rPr>
        <w:t xml:space="preserve">s enfermarias de </w:t>
      </w:r>
      <w:r w:rsidR="00A13D2E" w:rsidRPr="007C4FDF">
        <w:rPr>
          <w:rFonts w:ascii="Times New Roman" w:hAnsi="Times New Roman" w:cs="Times New Roman"/>
          <w:sz w:val="24"/>
          <w:szCs w:val="24"/>
        </w:rPr>
        <w:t>clínica</w:t>
      </w:r>
      <w:r w:rsidR="007C6E81" w:rsidRPr="007C4FDF">
        <w:rPr>
          <w:rFonts w:ascii="Times New Roman" w:hAnsi="Times New Roman" w:cs="Times New Roman"/>
          <w:sz w:val="24"/>
          <w:szCs w:val="24"/>
        </w:rPr>
        <w:t xml:space="preserve"> médica, cirúrgica</w:t>
      </w:r>
      <w:r w:rsidR="00A13D2E" w:rsidRPr="007C4FDF">
        <w:rPr>
          <w:rFonts w:ascii="Times New Roman" w:hAnsi="Times New Roman" w:cs="Times New Roman"/>
          <w:sz w:val="24"/>
          <w:szCs w:val="24"/>
        </w:rPr>
        <w:t xml:space="preserve"> e UTI no</w:t>
      </w:r>
      <w:r w:rsidR="00A13D2E" w:rsidRPr="002E5848">
        <w:rPr>
          <w:rFonts w:ascii="Times New Roman" w:hAnsi="Times New Roman" w:cs="Times New Roman"/>
          <w:sz w:val="24"/>
          <w:szCs w:val="24"/>
        </w:rPr>
        <w:t xml:space="preserve"> Hospital de Câncer de Mato Grosso</w:t>
      </w:r>
      <w:r w:rsidR="007C6E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57A176" w14:textId="798F8960" w:rsidR="006B7BF2" w:rsidRDefault="007C6E81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FDF">
        <w:rPr>
          <w:rFonts w:ascii="Times New Roman" w:hAnsi="Times New Roman" w:cs="Times New Roman"/>
          <w:sz w:val="24"/>
          <w:szCs w:val="24"/>
        </w:rPr>
        <w:t xml:space="preserve">Foram selecionados para participar da pesquisa todos os pacientes acima de 18 anos que estivessem em terapia nutricional e que autorizaram a </w:t>
      </w:r>
      <w:r w:rsidR="0074003E" w:rsidRPr="007C4FDF">
        <w:rPr>
          <w:rFonts w:ascii="Times New Roman" w:hAnsi="Times New Roman" w:cs="Times New Roman"/>
          <w:sz w:val="24"/>
          <w:szCs w:val="24"/>
        </w:rPr>
        <w:t>participar</w:t>
      </w:r>
      <w:r w:rsidR="00D8687C" w:rsidRPr="007C4FDF">
        <w:rPr>
          <w:rFonts w:ascii="Times New Roman" w:hAnsi="Times New Roman" w:cs="Times New Roman"/>
          <w:sz w:val="24"/>
          <w:szCs w:val="24"/>
        </w:rPr>
        <w:t xml:space="preserve"> da pesquisa</w:t>
      </w:r>
      <w:r w:rsidRPr="007C4FDF">
        <w:rPr>
          <w:rFonts w:ascii="Times New Roman" w:hAnsi="Times New Roman" w:cs="Times New Roman"/>
          <w:sz w:val="24"/>
          <w:szCs w:val="24"/>
        </w:rPr>
        <w:t xml:space="preserve"> e </w:t>
      </w:r>
      <w:r w:rsidR="003C7E01" w:rsidRPr="007C4FDF">
        <w:rPr>
          <w:rFonts w:ascii="Times New Roman" w:hAnsi="Times New Roman" w:cs="Times New Roman"/>
          <w:sz w:val="24"/>
          <w:szCs w:val="24"/>
        </w:rPr>
        <w:t xml:space="preserve">assinaram o termo de consentimento </w:t>
      </w:r>
      <w:r w:rsidR="002375F8" w:rsidRPr="007C4FDF">
        <w:rPr>
          <w:rFonts w:ascii="Times New Roman" w:hAnsi="Times New Roman" w:cs="Times New Roman"/>
          <w:sz w:val="24"/>
          <w:szCs w:val="24"/>
        </w:rPr>
        <w:t>livre e esclarecido</w:t>
      </w:r>
      <w:r w:rsidR="00D8687C" w:rsidRPr="007C4FDF">
        <w:rPr>
          <w:rFonts w:ascii="Times New Roman" w:hAnsi="Times New Roman" w:cs="Times New Roman"/>
          <w:sz w:val="24"/>
          <w:szCs w:val="24"/>
        </w:rPr>
        <w:t xml:space="preserve"> (TCLE),</w:t>
      </w:r>
      <w:r w:rsidRPr="007C4FDF">
        <w:rPr>
          <w:rFonts w:ascii="Times New Roman" w:hAnsi="Times New Roman" w:cs="Times New Roman"/>
          <w:sz w:val="24"/>
          <w:szCs w:val="24"/>
        </w:rPr>
        <w:t xml:space="preserve"> sendo </w:t>
      </w:r>
      <w:r w:rsidR="0074003E" w:rsidRPr="007C4FDF">
        <w:rPr>
          <w:rFonts w:ascii="Times New Roman" w:hAnsi="Times New Roman" w:cs="Times New Roman"/>
          <w:sz w:val="24"/>
          <w:szCs w:val="24"/>
        </w:rPr>
        <w:t>aqueles impossibilitados de assinar tinham um responsável pela aprovação.</w:t>
      </w:r>
      <w:r w:rsidR="009F6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60E61" w14:textId="6FB85261" w:rsidR="0059544B" w:rsidRDefault="00F75E84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9544B">
        <w:rPr>
          <w:rFonts w:ascii="Times New Roman" w:hAnsi="Times New Roman" w:cs="Times New Roman"/>
          <w:sz w:val="24"/>
          <w:szCs w:val="24"/>
        </w:rPr>
        <w:t>s pacientes</w:t>
      </w:r>
      <w:r>
        <w:rPr>
          <w:rFonts w:ascii="Times New Roman" w:hAnsi="Times New Roman" w:cs="Times New Roman"/>
          <w:sz w:val="24"/>
          <w:szCs w:val="24"/>
        </w:rPr>
        <w:t xml:space="preserve"> foram classificados de acordo com o diagnóstico cl</w:t>
      </w:r>
      <w:r w:rsidR="00BD7BD4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nico, sendo eles: </w:t>
      </w:r>
      <w:r w:rsidR="00BD7BD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Cl</w:t>
      </w:r>
      <w:r w:rsidR="00BD7BD4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nico</w:t>
      </w:r>
      <w:r w:rsidR="00BD7B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aqueles que estavam ainda em investigação clínica da patologia existente</w:t>
      </w:r>
      <w:r w:rsidR="00BD7BD4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sem confirmação de câncer; os classificados como </w:t>
      </w:r>
      <w:r w:rsidR="00BD7BD4">
        <w:rPr>
          <w:rFonts w:ascii="Times New Roman" w:hAnsi="Times New Roman" w:cs="Times New Roman"/>
          <w:sz w:val="24"/>
          <w:szCs w:val="24"/>
        </w:rPr>
        <w:t>2. C</w:t>
      </w:r>
      <w:r>
        <w:rPr>
          <w:rFonts w:ascii="Times New Roman" w:hAnsi="Times New Roman" w:cs="Times New Roman"/>
          <w:sz w:val="24"/>
          <w:szCs w:val="24"/>
        </w:rPr>
        <w:t>âncer</w:t>
      </w:r>
      <w:r w:rsidR="00BD7B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eram somente os que tinham confirmação desta patologia em outros sistemas exceto o do trato gastrointestinal e </w:t>
      </w:r>
      <w:r w:rsidR="00BD7BD4">
        <w:rPr>
          <w:rFonts w:ascii="Times New Roman" w:hAnsi="Times New Roman" w:cs="Times New Roman"/>
          <w:sz w:val="24"/>
          <w:szCs w:val="24"/>
        </w:rPr>
        <w:t>a categoria 3. Câncer do</w:t>
      </w:r>
      <w:r w:rsidR="003A6B5A">
        <w:rPr>
          <w:rFonts w:ascii="Times New Roman" w:hAnsi="Times New Roman" w:cs="Times New Roman"/>
          <w:sz w:val="24"/>
          <w:szCs w:val="24"/>
        </w:rPr>
        <w:t xml:space="preserve"> trato gastrointestinal</w:t>
      </w:r>
      <w:r w:rsidR="00BD7BD4">
        <w:rPr>
          <w:rFonts w:ascii="Times New Roman" w:hAnsi="Times New Roman" w:cs="Times New Roman"/>
          <w:sz w:val="24"/>
          <w:szCs w:val="24"/>
        </w:rPr>
        <w:t xml:space="preserve"> possuíam câncer com confirmação do diagnóstico no sistema digestório</w:t>
      </w:r>
      <w:r w:rsidR="003A6B5A">
        <w:rPr>
          <w:rFonts w:ascii="Times New Roman" w:hAnsi="Times New Roman" w:cs="Times New Roman"/>
          <w:sz w:val="24"/>
          <w:szCs w:val="24"/>
        </w:rPr>
        <w:t>.</w:t>
      </w:r>
      <w:r w:rsidR="00C243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DA0376" w14:textId="38A14340" w:rsidR="002375F8" w:rsidRDefault="002375F8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relação ao estado nutricional foi aplicado o formulário de Avaliação Subjetiva Global Preenchida pelo Paciente (ASG-PPP)</w:t>
      </w:r>
      <w:r w:rsidR="0059544B">
        <w:rPr>
          <w:rFonts w:ascii="Times New Roman" w:hAnsi="Times New Roman" w:cs="Times New Roman"/>
          <w:sz w:val="24"/>
          <w:szCs w:val="24"/>
        </w:rPr>
        <w:t xml:space="preserve"> obtido através dos pesquisadores</w:t>
      </w:r>
      <w:r>
        <w:rPr>
          <w:rFonts w:ascii="Times New Roman" w:hAnsi="Times New Roman" w:cs="Times New Roman"/>
          <w:sz w:val="24"/>
          <w:szCs w:val="24"/>
        </w:rPr>
        <w:t xml:space="preserve">, aonde o paciente respondeu ao pesquisador as perguntas realizadas do referido instrumento. Este </w:t>
      </w:r>
      <w:r w:rsidR="0074003E">
        <w:rPr>
          <w:rFonts w:ascii="Times New Roman" w:hAnsi="Times New Roman" w:cs="Times New Roman"/>
          <w:sz w:val="24"/>
          <w:szCs w:val="24"/>
        </w:rPr>
        <w:t>formulário é</w:t>
      </w:r>
      <w:r>
        <w:rPr>
          <w:rFonts w:ascii="Times New Roman" w:hAnsi="Times New Roman" w:cs="Times New Roman"/>
          <w:sz w:val="24"/>
          <w:szCs w:val="24"/>
        </w:rPr>
        <w:t xml:space="preserve"> recomendado especificamente </w:t>
      </w:r>
      <w:r w:rsidR="00D8687C">
        <w:rPr>
          <w:rFonts w:ascii="Times New Roman" w:hAnsi="Times New Roman" w:cs="Times New Roman"/>
          <w:sz w:val="24"/>
          <w:szCs w:val="24"/>
        </w:rPr>
        <w:t>para pacientes oncológico</w:t>
      </w:r>
      <w:r>
        <w:rPr>
          <w:rFonts w:ascii="Times New Roman" w:hAnsi="Times New Roman" w:cs="Times New Roman"/>
          <w:sz w:val="24"/>
          <w:szCs w:val="24"/>
        </w:rPr>
        <w:t xml:space="preserve"> de acordo com</w:t>
      </w:r>
      <w:r w:rsidR="0074003E">
        <w:rPr>
          <w:rFonts w:ascii="Times New Roman" w:hAnsi="Times New Roman" w:cs="Times New Roman"/>
          <w:sz w:val="24"/>
          <w:szCs w:val="24"/>
        </w:rPr>
        <w:t xml:space="preserve"> o</w:t>
      </w:r>
      <w:r w:rsidR="00D8687C">
        <w:rPr>
          <w:rFonts w:ascii="Times New Roman" w:hAnsi="Times New Roman" w:cs="Times New Roman"/>
          <w:sz w:val="24"/>
          <w:szCs w:val="24"/>
        </w:rPr>
        <w:t xml:space="preserve"> Instituto Nacional de Câncer</w:t>
      </w:r>
      <w:r w:rsidR="007C6E81">
        <w:rPr>
          <w:rFonts w:ascii="Times New Roman" w:hAnsi="Times New Roman" w:cs="Times New Roman"/>
          <w:sz w:val="24"/>
          <w:szCs w:val="24"/>
        </w:rPr>
        <w:t xml:space="preserve"> </w:t>
      </w:r>
      <w:r w:rsidR="00D8687C" w:rsidRPr="00713827">
        <w:rPr>
          <w:rFonts w:ascii="Times New Roman" w:hAnsi="Times New Roman" w:cs="Times New Roman"/>
          <w:sz w:val="24"/>
          <w:szCs w:val="24"/>
        </w:rPr>
        <w:t>(</w:t>
      </w:r>
      <w:r w:rsidR="0074003E" w:rsidRPr="00713827">
        <w:rPr>
          <w:rFonts w:ascii="Times New Roman" w:hAnsi="Times New Roman" w:cs="Times New Roman"/>
          <w:sz w:val="24"/>
          <w:szCs w:val="24"/>
        </w:rPr>
        <w:t>INCA</w:t>
      </w:r>
      <w:r w:rsidR="007C6E81" w:rsidRPr="00713827">
        <w:rPr>
          <w:rFonts w:ascii="Times New Roman" w:hAnsi="Times New Roman" w:cs="Times New Roman"/>
          <w:sz w:val="24"/>
          <w:szCs w:val="24"/>
        </w:rPr>
        <w:t>, 201</w:t>
      </w:r>
      <w:r w:rsidR="007B11E0">
        <w:rPr>
          <w:rFonts w:ascii="Times New Roman" w:hAnsi="Times New Roman" w:cs="Times New Roman"/>
          <w:sz w:val="24"/>
          <w:szCs w:val="24"/>
        </w:rPr>
        <w:t>6</w:t>
      </w:r>
      <w:r w:rsidR="00D8687C" w:rsidRPr="00713827">
        <w:rPr>
          <w:rFonts w:ascii="Times New Roman" w:hAnsi="Times New Roman" w:cs="Times New Roman"/>
          <w:sz w:val="24"/>
          <w:szCs w:val="24"/>
        </w:rPr>
        <w:t>)</w:t>
      </w:r>
      <w:r w:rsidR="0074003E" w:rsidRPr="00713827">
        <w:rPr>
          <w:rFonts w:ascii="Times New Roman" w:hAnsi="Times New Roman" w:cs="Times New Roman"/>
          <w:sz w:val="24"/>
          <w:szCs w:val="24"/>
        </w:rPr>
        <w:t>.</w:t>
      </w:r>
    </w:p>
    <w:p w14:paraId="72C3864E" w14:textId="7ECB00CD" w:rsidR="00A13D2E" w:rsidRDefault="007C6E81" w:rsidP="00A13D2E">
      <w:pPr>
        <w:spacing w:after="0" w:line="360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C4FDF">
        <w:rPr>
          <w:rFonts w:ascii="Times New Roman" w:hAnsi="Times New Roman" w:cs="Times New Roman"/>
          <w:sz w:val="24"/>
          <w:szCs w:val="24"/>
        </w:rPr>
        <w:t xml:space="preserve">A rotina de coleta de dados baseou-se inicialmente </w:t>
      </w:r>
      <w:r w:rsidR="00BD7BD4">
        <w:rPr>
          <w:rFonts w:ascii="Times New Roman" w:hAnsi="Times New Roman" w:cs="Times New Roman"/>
          <w:sz w:val="24"/>
          <w:szCs w:val="24"/>
        </w:rPr>
        <w:t xml:space="preserve">em </w:t>
      </w:r>
      <w:r w:rsidRPr="007C4FDF">
        <w:rPr>
          <w:rFonts w:ascii="Times New Roman" w:hAnsi="Times New Roman" w:cs="Times New Roman"/>
          <w:sz w:val="24"/>
          <w:szCs w:val="24"/>
        </w:rPr>
        <w:t>entrar em contato com a nutricionista clínica do dia que disponibilizava</w:t>
      </w:r>
      <w:r w:rsidR="002670E2">
        <w:rPr>
          <w:rFonts w:ascii="Times New Roman" w:hAnsi="Times New Roman" w:cs="Times New Roman"/>
          <w:sz w:val="24"/>
          <w:szCs w:val="24"/>
        </w:rPr>
        <w:t xml:space="preserve"> o mapa diário de enteral e parenteral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7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 sequência coletava-se os dados referentes aos </w:t>
      </w:r>
      <w:r w:rsidR="00A13D2E" w:rsidRPr="002E5848">
        <w:rPr>
          <w:rFonts w:ascii="Times New Roman" w:hAnsi="Times New Roman" w:cs="Times New Roman"/>
          <w:sz w:val="24"/>
          <w:szCs w:val="24"/>
        </w:rPr>
        <w:t>os indicadore</w:t>
      </w:r>
      <w:r w:rsidR="00BC2BEF">
        <w:rPr>
          <w:rFonts w:ascii="Times New Roman" w:hAnsi="Times New Roman" w:cs="Times New Roman"/>
          <w:sz w:val="24"/>
          <w:szCs w:val="24"/>
        </w:rPr>
        <w:t>s de qualidades</w:t>
      </w:r>
      <w:r w:rsidR="002670E2">
        <w:rPr>
          <w:rFonts w:ascii="Times New Roman" w:hAnsi="Times New Roman" w:cs="Times New Roman"/>
          <w:sz w:val="24"/>
          <w:szCs w:val="24"/>
        </w:rPr>
        <w:t xml:space="preserve"> de acordo com as necessidades da pesquisa,</w:t>
      </w:r>
      <w:r>
        <w:rPr>
          <w:rFonts w:ascii="Times New Roman" w:hAnsi="Times New Roman" w:cs="Times New Roman"/>
          <w:sz w:val="24"/>
          <w:szCs w:val="24"/>
        </w:rPr>
        <w:t xml:space="preserve"> sendo esses os indicadores utilizados</w:t>
      </w:r>
      <w:r w:rsidR="007449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D2E" w:rsidRPr="002E584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distensão abdominal, </w:t>
      </w:r>
      <w:r w:rsidR="0091227A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obstrução ou </w:t>
      </w:r>
      <w:r w:rsidR="00A13D2E" w:rsidRPr="002E584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saída de sonda, </w:t>
      </w:r>
      <w:r w:rsidR="00F10EB4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presença</w:t>
      </w:r>
      <w:r w:rsidR="00A13D2E" w:rsidRPr="002E584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de episódios de diarreia</w:t>
      </w:r>
      <w:r w:rsidR="00C82D5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 tempo em jejum</w:t>
      </w:r>
      <w:r w:rsidR="007449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</w:t>
      </w:r>
      <w:r w:rsidR="00A13D2E" w:rsidRPr="002E584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10EB4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presença</w:t>
      </w:r>
      <w:r w:rsidR="00A13D2E" w:rsidRPr="002E584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F10EB4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náuseas e vômitos</w:t>
      </w:r>
      <w:r w:rsidR="002670E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10EB4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presença</w:t>
      </w:r>
      <w:r w:rsidR="002670E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05A4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de infecção de cateter</w:t>
      </w:r>
      <w:r w:rsidR="002670E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e indicador de</w:t>
      </w:r>
      <w:r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avaliação nutricional pela</w:t>
      </w:r>
      <w:r w:rsidR="002670E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ASG</w:t>
      </w:r>
      <w:r w:rsidR="003A6B5A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-PPP</w:t>
      </w:r>
      <w:r w:rsidR="002670E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4CEAA977" w14:textId="4270097D" w:rsidR="00DD074E" w:rsidRPr="002E5848" w:rsidRDefault="00DD074E" w:rsidP="00A1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cálculo dos indicadores de qualidade em TNE foi realizado de acordo com a fórmula padrão: número de pacientes que apresentou indicador dividido pelo total de pacientes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em TNE vezes 100. Enquanto o indicador de avaliação do estado nutricional utilizou-se o número de pacientes avaliados dividido pelo total de pacientes vezes 100. </w:t>
      </w:r>
    </w:p>
    <w:p w14:paraId="6E185625" w14:textId="14BFBEEB" w:rsidR="009119AB" w:rsidRPr="00DD1584" w:rsidRDefault="00BC2BEF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C63CC8">
        <w:rPr>
          <w:rFonts w:ascii="Times New Roman" w:eastAsiaTheme="minorEastAsia" w:hAnsi="Times New Roman" w:cs="Times New Roman"/>
          <w:sz w:val="24"/>
          <w:szCs w:val="24"/>
        </w:rPr>
        <w:t>Foi</w:t>
      </w:r>
      <w:r w:rsidR="00A13D2E" w:rsidRPr="00C63C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13D2E" w:rsidRPr="002E08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utilizado nas análises estatísticas </w:t>
      </w:r>
      <w:r w:rsidR="003A6B5A" w:rsidRPr="002E08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 </w:t>
      </w:r>
      <w:r w:rsidR="00A13D2E" w:rsidRPr="002E08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porcentagem, frequência relativa ou absoluta, sendo todos os resultados confeccionados pelo programa Excel.</w:t>
      </w:r>
    </w:p>
    <w:p w14:paraId="6CC3AEC6" w14:textId="77777777" w:rsidR="007F0181" w:rsidRDefault="007F0181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7AD9AA7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F42357A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A6E5A5F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6212F53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91DFE3A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FD6F740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7E054E9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7A41DAB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48BCC6C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94F40C4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C38477E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BF36528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D106346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5E5AB65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33D0B98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520AC85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0AFBD47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8C31D69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91018E0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57F6E8A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AC9C74E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22801A1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EF7D59C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A107589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D31CED1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CF3806D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952F984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964B5BA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65AA2D2" w14:textId="77777777" w:rsidR="008A2946" w:rsidRDefault="008A2946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8225A22" w14:textId="40429BAA" w:rsidR="00A13D2E" w:rsidRDefault="00A13D2E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RESULTADOS E DISCUSSÃO</w:t>
      </w:r>
    </w:p>
    <w:p w14:paraId="28E86D45" w14:textId="77777777" w:rsidR="00484BA8" w:rsidRDefault="00484BA8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7B4BC44" w14:textId="7E95BFB3" w:rsidR="00A13D2E" w:rsidRDefault="003E2A60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Foram avaliados no total de 50 pacientes de agosto </w:t>
      </w:r>
      <w:r w:rsidR="007F0181">
        <w:rPr>
          <w:rFonts w:ascii="Times New Roman" w:eastAsiaTheme="minorEastAsia" w:hAnsi="Times New Roman" w:cs="Times New Roman"/>
          <w:sz w:val="24"/>
          <w:szCs w:val="24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setembro de 2018</w:t>
      </w:r>
      <w:r w:rsidR="00E93DCD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863938">
        <w:rPr>
          <w:rFonts w:ascii="Times New Roman" w:eastAsiaTheme="minorEastAsia" w:hAnsi="Times New Roman" w:cs="Times New Roman"/>
          <w:sz w:val="24"/>
          <w:szCs w:val="24"/>
        </w:rPr>
        <w:t xml:space="preserve"> dentre eles 74% eram do sexo masculino e 26% eram do sexo feminino</w:t>
      </w:r>
      <w:r w:rsidR="00484BA8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4E6789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484BA8">
        <w:rPr>
          <w:rFonts w:ascii="Times New Roman" w:eastAsiaTheme="minorEastAsia" w:hAnsi="Times New Roman" w:cs="Times New Roman"/>
          <w:sz w:val="24"/>
          <w:szCs w:val="24"/>
        </w:rPr>
        <w:t>abela 1)</w:t>
      </w:r>
      <w:r w:rsidR="0086393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0D482C">
        <w:rPr>
          <w:rFonts w:ascii="Times New Roman" w:eastAsiaTheme="minorEastAsia" w:hAnsi="Times New Roman" w:cs="Times New Roman"/>
          <w:sz w:val="24"/>
          <w:szCs w:val="24"/>
        </w:rPr>
        <w:t>O valor médio encontrado de tempo de internação foi de 20 dias</w:t>
      </w:r>
      <w:r w:rsidR="0086393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E93DCD">
        <w:rPr>
          <w:rFonts w:ascii="Times New Roman" w:eastAsiaTheme="minorEastAsia" w:hAnsi="Times New Roman" w:cs="Times New Roman"/>
          <w:sz w:val="24"/>
          <w:szCs w:val="24"/>
        </w:rPr>
        <w:t xml:space="preserve"> sendo 40</w:t>
      </w:r>
      <w:r w:rsidR="00D3152B">
        <w:rPr>
          <w:rFonts w:ascii="Times New Roman" w:eastAsiaTheme="minorEastAsia" w:hAnsi="Times New Roman" w:cs="Times New Roman"/>
          <w:sz w:val="24"/>
          <w:szCs w:val="24"/>
        </w:rPr>
        <w:t xml:space="preserve"> indivíduos</w:t>
      </w:r>
      <w:r w:rsidR="00E93DCD">
        <w:rPr>
          <w:rFonts w:ascii="Times New Roman" w:eastAsiaTheme="minorEastAsia" w:hAnsi="Times New Roman" w:cs="Times New Roman"/>
          <w:sz w:val="24"/>
          <w:szCs w:val="24"/>
        </w:rPr>
        <w:t xml:space="preserve"> recebendo </w:t>
      </w:r>
      <w:r w:rsidR="001700B9">
        <w:rPr>
          <w:rFonts w:ascii="Times New Roman" w:eastAsiaTheme="minorEastAsia" w:hAnsi="Times New Roman" w:cs="Times New Roman"/>
          <w:sz w:val="24"/>
          <w:szCs w:val="24"/>
        </w:rPr>
        <w:t xml:space="preserve">sonda nasoenteral (SNE), 8 em jejunostomia (JJT) e 2 em nutrição parenteral (NPT). Todos receberam o termo de consentimento livre e esclarecido assinado pelo paciente ou responsável legal.  </w:t>
      </w:r>
    </w:p>
    <w:p w14:paraId="6BA7727D" w14:textId="77777777" w:rsidR="004E6789" w:rsidRDefault="004E6789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1E013EF" w14:textId="77777777" w:rsidR="00484BA8" w:rsidRDefault="00484BA8" w:rsidP="00484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Tabela 1. </w:t>
      </w:r>
      <w:r>
        <w:rPr>
          <w:rFonts w:ascii="Times New Roman" w:hAnsi="Times New Roman" w:cs="Times New Roman"/>
          <w:sz w:val="24"/>
          <w:szCs w:val="24"/>
        </w:rPr>
        <w:t>Descritiva da amostra.</w:t>
      </w:r>
    </w:p>
    <w:tbl>
      <w:tblPr>
        <w:tblStyle w:val="Tabelacomgrade"/>
        <w:tblW w:w="0" w:type="auto"/>
        <w:tblInd w:w="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27"/>
        <w:gridCol w:w="1983"/>
      </w:tblGrid>
      <w:tr w:rsidR="00484BA8" w14:paraId="0D4419B5" w14:textId="77777777" w:rsidTr="004206CF">
        <w:trPr>
          <w:trHeight w:val="197"/>
        </w:trPr>
        <w:tc>
          <w:tcPr>
            <w:tcW w:w="6511" w:type="dxa"/>
            <w:gridSpan w:val="2"/>
          </w:tcPr>
          <w:p w14:paraId="5C69684D" w14:textId="77777777" w:rsidR="00484BA8" w:rsidRPr="009A3127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Variáveis</w:t>
            </w:r>
          </w:p>
        </w:tc>
        <w:tc>
          <w:tcPr>
            <w:tcW w:w="1983" w:type="dxa"/>
          </w:tcPr>
          <w:p w14:paraId="52D33FD1" w14:textId="77777777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4BA8" w14:paraId="3F4E8988" w14:textId="77777777" w:rsidTr="004206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88"/>
        </w:trPr>
        <w:tc>
          <w:tcPr>
            <w:tcW w:w="3184" w:type="dxa"/>
          </w:tcPr>
          <w:p w14:paraId="089AF3FF" w14:textId="77777777" w:rsidR="00484BA8" w:rsidRDefault="00484BA8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  <w:p w14:paraId="3B8F3CCD" w14:textId="77777777" w:rsidR="009F3AFE" w:rsidRDefault="009F3AFE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C6309" w14:textId="77777777" w:rsidR="0030789E" w:rsidRDefault="0030789E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00C96" w14:textId="77777777" w:rsidR="009F3AFE" w:rsidRDefault="009B3627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Indicadores</w:t>
            </w:r>
          </w:p>
          <w:p w14:paraId="37BFB8CD" w14:textId="77777777" w:rsidR="00484BA8" w:rsidRDefault="00484BA8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5B66" w14:textId="77777777" w:rsidR="00484BA8" w:rsidRDefault="00484BA8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C4A79" w14:textId="77777777" w:rsidR="00484BA8" w:rsidRDefault="00484BA8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1C571" w14:textId="77777777" w:rsidR="00484BA8" w:rsidRDefault="00484BA8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076D0" w14:textId="77777777" w:rsidR="009F3AFE" w:rsidRDefault="009F3AFE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ADF95" w14:textId="77777777" w:rsidR="009F3AFE" w:rsidRDefault="009F3AFE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01EAF" w14:textId="77777777" w:rsidR="009F3AFE" w:rsidRDefault="009F3AFE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60B53" w14:textId="77777777" w:rsidR="0030789E" w:rsidRDefault="0030789E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D2A45" w14:textId="77777777" w:rsidR="009F3AFE" w:rsidRDefault="00484BA8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Diagnóstico nutricional</w:t>
            </w:r>
          </w:p>
          <w:p w14:paraId="5B5B7EF8" w14:textId="77777777" w:rsidR="00484BA8" w:rsidRDefault="00484BA8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2CB21" w14:textId="77777777" w:rsidR="009F3AFE" w:rsidRDefault="009F3AFE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7A56E" w14:textId="77777777" w:rsidR="0030789E" w:rsidRDefault="0030789E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22AC7" w14:textId="77777777" w:rsidR="00484BA8" w:rsidRDefault="00484BA8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Diagnóstico clínico</w:t>
            </w:r>
          </w:p>
        </w:tc>
        <w:tc>
          <w:tcPr>
            <w:tcW w:w="3327" w:type="dxa"/>
          </w:tcPr>
          <w:p w14:paraId="3D5FE883" w14:textId="77777777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Feminino</w:t>
            </w:r>
          </w:p>
          <w:p w14:paraId="2367C9BA" w14:textId="77777777" w:rsidR="009F3AFE" w:rsidRDefault="00484BA8" w:rsidP="009F3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Masculino</w:t>
            </w:r>
          </w:p>
          <w:p w14:paraId="5FB299C5" w14:textId="77777777" w:rsidR="0030789E" w:rsidRDefault="0030789E" w:rsidP="009F3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1F30E" w14:textId="77777777" w:rsidR="00484BA8" w:rsidRDefault="00C82D5B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 em jejum</w:t>
            </w:r>
          </w:p>
          <w:p w14:paraId="68964DC7" w14:textId="77777777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Náuseas e vômitos</w:t>
            </w:r>
          </w:p>
          <w:p w14:paraId="6932C87F" w14:textId="77777777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Distensão abdominal</w:t>
            </w:r>
          </w:p>
          <w:p w14:paraId="5C429DFB" w14:textId="77777777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Obstrução ou saída da sonda</w:t>
            </w:r>
          </w:p>
          <w:p w14:paraId="02B38AF7" w14:textId="77777777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Diarreia</w:t>
            </w:r>
          </w:p>
          <w:p w14:paraId="3CE6E4F8" w14:textId="77777777" w:rsidR="009F3AFE" w:rsidRDefault="009F3AFE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Frequência de infecção de cateter</w:t>
            </w:r>
          </w:p>
          <w:p w14:paraId="00EAE3A1" w14:textId="5287B247" w:rsidR="009F3AFE" w:rsidRDefault="003C7C8E" w:rsidP="009F3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Avaliação nutricional</w:t>
            </w:r>
          </w:p>
          <w:p w14:paraId="4E2B4053" w14:textId="77777777" w:rsidR="0030789E" w:rsidRDefault="0030789E" w:rsidP="009F3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F89C4" w14:textId="339C0E4C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ASG</w:t>
            </w:r>
            <w:r w:rsidR="00122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187C">
              <w:rPr>
                <w:rFonts w:ascii="Times New Roman" w:hAnsi="Times New Roman" w:cs="Times New Roman"/>
                <w:sz w:val="24"/>
                <w:szCs w:val="24"/>
              </w:rPr>
              <w:t>PPP</w:t>
            </w:r>
            <w:r w:rsidR="0012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26512CC" w14:textId="3FA3C911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ASG</w:t>
            </w:r>
            <w:r w:rsidR="00122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187C">
              <w:rPr>
                <w:rFonts w:ascii="Times New Roman" w:hAnsi="Times New Roman" w:cs="Times New Roman"/>
                <w:sz w:val="24"/>
                <w:szCs w:val="24"/>
              </w:rPr>
              <w:t>PPP</w:t>
            </w:r>
            <w:r w:rsidR="0012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3A8EF9D8" w14:textId="05F4F861" w:rsidR="009F3AFE" w:rsidRDefault="00484BA8" w:rsidP="009F3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ASG</w:t>
            </w:r>
            <w:r w:rsidR="00122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187C">
              <w:rPr>
                <w:rFonts w:ascii="Times New Roman" w:hAnsi="Times New Roman" w:cs="Times New Roman"/>
                <w:sz w:val="24"/>
                <w:szCs w:val="24"/>
              </w:rPr>
              <w:t>PPP</w:t>
            </w:r>
            <w:r w:rsidR="0012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1A13B63A" w14:textId="77777777" w:rsidR="0030789E" w:rsidRDefault="0030789E" w:rsidP="009F3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291FC" w14:textId="77777777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Clínico</w:t>
            </w:r>
          </w:p>
          <w:p w14:paraId="71E72BE3" w14:textId="77777777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Câncer</w:t>
            </w:r>
          </w:p>
          <w:p w14:paraId="4C8B9E46" w14:textId="77777777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Câncer do TGI</w:t>
            </w:r>
          </w:p>
        </w:tc>
        <w:tc>
          <w:tcPr>
            <w:tcW w:w="1983" w:type="dxa"/>
          </w:tcPr>
          <w:p w14:paraId="2343BDB8" w14:textId="77777777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78D210F6" w14:textId="77777777" w:rsidR="009F3AFE" w:rsidRDefault="00484BA8" w:rsidP="009F3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14:paraId="2DE19465" w14:textId="77777777" w:rsidR="0030789E" w:rsidRDefault="0030789E" w:rsidP="009F3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6B73D" w14:textId="363DE9A0" w:rsidR="00484BA8" w:rsidRDefault="003C7C8E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6B0831E" w14:textId="3F697F2E" w:rsidR="00484BA8" w:rsidRDefault="003C7C8E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CA2D537" w14:textId="1A7BB4A6" w:rsidR="00484BA8" w:rsidRDefault="003C7C8E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5DDA651D" w14:textId="3A8189A9" w:rsidR="00484BA8" w:rsidRDefault="003C7C8E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1E65E3FA" w14:textId="543B5790" w:rsidR="00484BA8" w:rsidRDefault="003C7C8E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5E7AA83" w14:textId="77777777" w:rsidR="009F3AFE" w:rsidRDefault="009F3AFE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385425F" w14:textId="77777777" w:rsidR="009F3AFE" w:rsidRDefault="009F3AFE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02E1A" w14:textId="77777777" w:rsidR="009F3AFE" w:rsidRDefault="009F3AFE" w:rsidP="009F3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41054B06" w14:textId="77777777" w:rsidR="0030789E" w:rsidRDefault="0030789E" w:rsidP="009F3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C0C23" w14:textId="77777777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660A3DDB" w14:textId="77777777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31F3DBAB" w14:textId="77777777" w:rsidR="009F3AFE" w:rsidRDefault="00484BA8" w:rsidP="009F3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733F092F" w14:textId="77777777" w:rsidR="0030789E" w:rsidRDefault="0030789E" w:rsidP="009F3A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036A6" w14:textId="77777777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44D71C5" w14:textId="77777777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4A1268E2" w14:textId="77777777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42FF01AB" w14:textId="77777777" w:rsidR="00484BA8" w:rsidRDefault="00484BA8" w:rsidP="00484BA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BEFE01A" w14:textId="4B4E2748" w:rsidR="00C34D41" w:rsidRDefault="00CA05DA" w:rsidP="00484BA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Diante da aplicação dos indicadores pode-se observar um </w:t>
      </w:r>
      <w:r w:rsidRPr="007C4FDF">
        <w:rPr>
          <w:rFonts w:ascii="Times New Roman" w:eastAsiaTheme="minorEastAsia" w:hAnsi="Times New Roman" w:cs="Times New Roman"/>
          <w:sz w:val="24"/>
          <w:szCs w:val="24"/>
        </w:rPr>
        <w:t xml:space="preserve">percentual </w:t>
      </w:r>
      <w:r w:rsidR="005001C0">
        <w:rPr>
          <w:rFonts w:ascii="Times New Roman" w:eastAsiaTheme="minorEastAsia" w:hAnsi="Times New Roman" w:cs="Times New Roman"/>
          <w:sz w:val="24"/>
          <w:szCs w:val="24"/>
        </w:rPr>
        <w:t>significativo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das complicações avaliadas, sendo elas: náuseas e vômitos (</w:t>
      </w:r>
      <w:r w:rsidR="005001C0"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2%), obstrução </w:t>
      </w:r>
      <w:r w:rsidR="00154857">
        <w:rPr>
          <w:rFonts w:ascii="Times New Roman" w:eastAsiaTheme="minorEastAsia" w:hAnsi="Times New Roman" w:cs="Times New Roman"/>
          <w:sz w:val="24"/>
          <w:szCs w:val="24"/>
        </w:rPr>
        <w:t>ou saída da sonda (</w:t>
      </w:r>
      <w:r w:rsidR="005001C0">
        <w:rPr>
          <w:rFonts w:ascii="Times New Roman" w:eastAsiaTheme="minorEastAsia" w:hAnsi="Times New Roman" w:cs="Times New Roman"/>
          <w:sz w:val="24"/>
          <w:szCs w:val="24"/>
        </w:rPr>
        <w:t>14</w:t>
      </w:r>
      <w:r w:rsidR="00154857">
        <w:rPr>
          <w:rFonts w:ascii="Times New Roman" w:eastAsiaTheme="minorEastAsia" w:hAnsi="Times New Roman" w:cs="Times New Roman"/>
          <w:sz w:val="24"/>
          <w:szCs w:val="24"/>
        </w:rPr>
        <w:t>%), di</w:t>
      </w:r>
      <w:r w:rsidR="00C34D41">
        <w:rPr>
          <w:rFonts w:ascii="Times New Roman" w:eastAsiaTheme="minorEastAsia" w:hAnsi="Times New Roman" w:cs="Times New Roman"/>
          <w:sz w:val="24"/>
          <w:szCs w:val="24"/>
        </w:rPr>
        <w:t>arreia (</w:t>
      </w:r>
      <w:r w:rsidR="005001C0">
        <w:rPr>
          <w:rFonts w:ascii="Times New Roman" w:eastAsiaTheme="minorEastAsia" w:hAnsi="Times New Roman" w:cs="Times New Roman"/>
          <w:sz w:val="24"/>
          <w:szCs w:val="24"/>
        </w:rPr>
        <w:t>10</w:t>
      </w:r>
      <w:r w:rsidR="00C34D41">
        <w:rPr>
          <w:rFonts w:ascii="Times New Roman" w:eastAsiaTheme="minorEastAsia" w:hAnsi="Times New Roman" w:cs="Times New Roman"/>
          <w:sz w:val="24"/>
          <w:szCs w:val="24"/>
        </w:rPr>
        <w:t>%), jejum (</w:t>
      </w:r>
      <w:r w:rsidR="005001C0">
        <w:rPr>
          <w:rFonts w:ascii="Times New Roman" w:eastAsiaTheme="minorEastAsia" w:hAnsi="Times New Roman" w:cs="Times New Roman"/>
          <w:sz w:val="24"/>
          <w:szCs w:val="24"/>
        </w:rPr>
        <w:t>30</w:t>
      </w:r>
      <w:r w:rsidR="00C34D41">
        <w:rPr>
          <w:rFonts w:ascii="Times New Roman" w:eastAsiaTheme="minorEastAsia" w:hAnsi="Times New Roman" w:cs="Times New Roman"/>
          <w:sz w:val="24"/>
          <w:szCs w:val="24"/>
        </w:rPr>
        <w:t>%)</w:t>
      </w:r>
      <w:r w:rsidR="005118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4D41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="00154857">
        <w:rPr>
          <w:rFonts w:ascii="Times New Roman" w:eastAsiaTheme="minorEastAsia" w:hAnsi="Times New Roman" w:cs="Times New Roman"/>
          <w:sz w:val="24"/>
          <w:szCs w:val="24"/>
        </w:rPr>
        <w:t>distensão abdominal (</w:t>
      </w:r>
      <w:r w:rsidR="005001C0">
        <w:rPr>
          <w:rFonts w:ascii="Times New Roman" w:eastAsiaTheme="minorEastAsia" w:hAnsi="Times New Roman" w:cs="Times New Roman"/>
          <w:sz w:val="24"/>
          <w:szCs w:val="24"/>
        </w:rPr>
        <w:t>36</w:t>
      </w:r>
      <w:r w:rsidR="00154857">
        <w:rPr>
          <w:rFonts w:ascii="Times New Roman" w:eastAsiaTheme="minorEastAsia" w:hAnsi="Times New Roman" w:cs="Times New Roman"/>
          <w:sz w:val="24"/>
          <w:szCs w:val="24"/>
        </w:rPr>
        <w:t>%)</w:t>
      </w:r>
      <w:r w:rsidR="00C34D41">
        <w:rPr>
          <w:rFonts w:ascii="Times New Roman" w:eastAsiaTheme="minorEastAsia" w:hAnsi="Times New Roman" w:cs="Times New Roman"/>
          <w:sz w:val="24"/>
          <w:szCs w:val="24"/>
        </w:rPr>
        <w:t xml:space="preserve">. Em </w:t>
      </w:r>
      <w:r w:rsidR="00C34D41" w:rsidRPr="007C4FDF">
        <w:rPr>
          <w:rFonts w:ascii="Times New Roman" w:eastAsiaTheme="minorEastAsia" w:hAnsi="Times New Roman" w:cs="Times New Roman"/>
          <w:sz w:val="24"/>
          <w:szCs w:val="24"/>
        </w:rPr>
        <w:t>contrapartida os indicadores relacionados a infecções e avaliação nutricional foram bastante expressivos</w:t>
      </w:r>
      <w:r w:rsidR="005001C0">
        <w:rPr>
          <w:rFonts w:ascii="Times New Roman" w:eastAsiaTheme="minorEastAsia" w:hAnsi="Times New Roman" w:cs="Times New Roman"/>
          <w:sz w:val="24"/>
          <w:szCs w:val="24"/>
        </w:rPr>
        <w:t xml:space="preserve"> de acordo c</w:t>
      </w:r>
      <w:r w:rsidR="006E09BE">
        <w:rPr>
          <w:rFonts w:ascii="Times New Roman" w:eastAsiaTheme="minorEastAsia" w:hAnsi="Times New Roman" w:cs="Times New Roman"/>
          <w:sz w:val="24"/>
          <w:szCs w:val="24"/>
        </w:rPr>
        <w:t>om a meta recomendada p</w:t>
      </w:r>
      <w:r w:rsidR="00DD1584">
        <w:rPr>
          <w:rFonts w:ascii="Times New Roman" w:eastAsiaTheme="minorEastAsia" w:hAnsi="Times New Roman" w:cs="Times New Roman"/>
          <w:sz w:val="24"/>
          <w:szCs w:val="24"/>
        </w:rPr>
        <w:t>or VEROTTI, 2012</w:t>
      </w:r>
      <w:r w:rsidR="00C34D41" w:rsidRPr="007C4FDF">
        <w:rPr>
          <w:rFonts w:ascii="Times New Roman" w:eastAsiaTheme="minorEastAsia" w:hAnsi="Times New Roman" w:cs="Times New Roman"/>
          <w:sz w:val="24"/>
          <w:szCs w:val="24"/>
        </w:rPr>
        <w:t xml:space="preserve"> observou-se </w:t>
      </w:r>
      <w:r w:rsidR="0007757A" w:rsidRPr="007C4FDF">
        <w:rPr>
          <w:rFonts w:ascii="Times New Roman" w:eastAsiaTheme="minorEastAsia" w:hAnsi="Times New Roman" w:cs="Times New Roman"/>
          <w:sz w:val="24"/>
          <w:szCs w:val="24"/>
        </w:rPr>
        <w:t>frequência de infecção de cateter (0%) e in</w:t>
      </w:r>
      <w:r w:rsidR="005001C0">
        <w:rPr>
          <w:rFonts w:ascii="Times New Roman" w:eastAsiaTheme="minorEastAsia" w:hAnsi="Times New Roman" w:cs="Times New Roman"/>
          <w:sz w:val="24"/>
          <w:szCs w:val="24"/>
        </w:rPr>
        <w:t>dicador de avaliação nutricional</w:t>
      </w:r>
      <w:r w:rsidR="0007757A" w:rsidRPr="007C4FDF">
        <w:rPr>
          <w:rFonts w:ascii="Times New Roman" w:eastAsiaTheme="minorEastAsia" w:hAnsi="Times New Roman" w:cs="Times New Roman"/>
          <w:sz w:val="24"/>
          <w:szCs w:val="24"/>
        </w:rPr>
        <w:t xml:space="preserve"> (100%) </w:t>
      </w:r>
      <w:r w:rsidR="00212B13" w:rsidRPr="007C4FDF">
        <w:rPr>
          <w:rFonts w:ascii="Times New Roman" w:eastAsiaTheme="minorEastAsia" w:hAnsi="Times New Roman" w:cs="Times New Roman"/>
          <w:sz w:val="24"/>
          <w:szCs w:val="24"/>
        </w:rPr>
        <w:t>descritos</w:t>
      </w:r>
      <w:r w:rsidR="00212B13">
        <w:rPr>
          <w:rFonts w:ascii="Times New Roman" w:eastAsiaTheme="minorEastAsia" w:hAnsi="Times New Roman" w:cs="Times New Roman"/>
          <w:sz w:val="24"/>
          <w:szCs w:val="24"/>
        </w:rPr>
        <w:t xml:space="preserve"> na Tabela 1. </w:t>
      </w:r>
    </w:p>
    <w:p w14:paraId="4C751D43" w14:textId="16504404" w:rsidR="004E6789" w:rsidRDefault="00212B13" w:rsidP="00484BA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Entretanto, no diagnóstico nutricional</w:t>
      </w:r>
      <w:r w:rsidR="00C34D41">
        <w:rPr>
          <w:rFonts w:ascii="Times New Roman" w:eastAsiaTheme="minorEastAsia" w:hAnsi="Times New Roman" w:cs="Times New Roman"/>
          <w:sz w:val="24"/>
          <w:szCs w:val="24"/>
        </w:rPr>
        <w:t xml:space="preserve"> a grande maioria da amostra apresentava alteração do estado nutricional, sendo </w:t>
      </w:r>
      <w:r w:rsidR="00F13B5F">
        <w:rPr>
          <w:rFonts w:ascii="Times New Roman" w:eastAsiaTheme="minorEastAsia" w:hAnsi="Times New Roman" w:cs="Times New Roman"/>
          <w:sz w:val="24"/>
          <w:szCs w:val="24"/>
        </w:rPr>
        <w:t>divididos</w:t>
      </w:r>
      <w:r w:rsidR="00C34D41">
        <w:rPr>
          <w:rFonts w:ascii="Times New Roman" w:eastAsiaTheme="minorEastAsia" w:hAnsi="Times New Roman" w:cs="Times New Roman"/>
          <w:sz w:val="24"/>
          <w:szCs w:val="24"/>
        </w:rPr>
        <w:t xml:space="preserve"> em: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16% foram classificados em ASG</w:t>
      </w:r>
      <w:r w:rsidR="001229A0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6E09BE">
        <w:rPr>
          <w:rFonts w:ascii="Times New Roman" w:eastAsiaTheme="minorEastAsia" w:hAnsi="Times New Roman" w:cs="Times New Roman"/>
          <w:sz w:val="24"/>
          <w:szCs w:val="24"/>
        </w:rPr>
        <w:t>PPP</w:t>
      </w:r>
      <w:r w:rsidR="001229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4D41">
        <w:rPr>
          <w:rFonts w:ascii="Times New Roman" w:eastAsiaTheme="minorEastAsia" w:hAnsi="Times New Roman" w:cs="Times New Roman"/>
          <w:sz w:val="24"/>
          <w:szCs w:val="24"/>
        </w:rPr>
        <w:t>A, 22% em ASG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6E09BE">
        <w:rPr>
          <w:rFonts w:ascii="Times New Roman" w:eastAsiaTheme="minorEastAsia" w:hAnsi="Times New Roman" w:cs="Times New Roman"/>
          <w:sz w:val="24"/>
          <w:szCs w:val="24"/>
        </w:rPr>
        <w:t>PPP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4D41">
        <w:rPr>
          <w:rFonts w:ascii="Times New Roman" w:eastAsiaTheme="minorEastAsia" w:hAnsi="Times New Roman" w:cs="Times New Roman"/>
          <w:sz w:val="24"/>
          <w:szCs w:val="24"/>
        </w:rPr>
        <w:t>B e 62% em ASG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6E09BE">
        <w:rPr>
          <w:rFonts w:ascii="Times New Roman" w:eastAsiaTheme="minorEastAsia" w:hAnsi="Times New Roman" w:cs="Times New Roman"/>
          <w:sz w:val="24"/>
          <w:szCs w:val="24"/>
        </w:rPr>
        <w:t>PPP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4D41">
        <w:rPr>
          <w:rFonts w:ascii="Times New Roman" w:eastAsiaTheme="minorEastAsia" w:hAnsi="Times New Roman" w:cs="Times New Roman"/>
          <w:sz w:val="24"/>
          <w:szCs w:val="24"/>
        </w:rPr>
        <w:t xml:space="preserve">C. Já o diagnóstico clínico foi de </w:t>
      </w:r>
      <w:r w:rsidR="00D3152B">
        <w:rPr>
          <w:rFonts w:ascii="Times New Roman" w:eastAsiaTheme="minorEastAsia" w:hAnsi="Times New Roman" w:cs="Times New Roman"/>
          <w:sz w:val="24"/>
          <w:szCs w:val="24"/>
        </w:rPr>
        <w:t>36% com Câncer do trato gastrointestinal,</w:t>
      </w:r>
      <w:r w:rsidR="00C34D4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B5D2A">
        <w:rPr>
          <w:rFonts w:ascii="Times New Roman" w:eastAsiaTheme="minorEastAsia" w:hAnsi="Times New Roman" w:cs="Times New Roman"/>
          <w:sz w:val="24"/>
          <w:szCs w:val="24"/>
        </w:rPr>
        <w:t>52%</w:t>
      </w:r>
      <w:r w:rsidR="00512C3D">
        <w:rPr>
          <w:rFonts w:ascii="Times New Roman" w:eastAsiaTheme="minorEastAsia" w:hAnsi="Times New Roman" w:cs="Times New Roman"/>
          <w:sz w:val="24"/>
          <w:szCs w:val="24"/>
        </w:rPr>
        <w:t xml:space="preserve"> foram ide</w:t>
      </w:r>
      <w:r w:rsidR="00D3152B">
        <w:rPr>
          <w:rFonts w:ascii="Times New Roman" w:eastAsiaTheme="minorEastAsia" w:hAnsi="Times New Roman" w:cs="Times New Roman"/>
          <w:sz w:val="24"/>
          <w:szCs w:val="24"/>
        </w:rPr>
        <w:t>ntificados como Câncer em outros sítios</w:t>
      </w:r>
      <w:r w:rsidR="00512C3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D3152B">
        <w:rPr>
          <w:rFonts w:ascii="Times New Roman" w:eastAsiaTheme="minorEastAsia" w:hAnsi="Times New Roman" w:cs="Times New Roman"/>
          <w:sz w:val="24"/>
          <w:szCs w:val="24"/>
        </w:rPr>
        <w:t>e 12% em tratamento</w:t>
      </w:r>
      <w:r w:rsidR="00C34D4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3152B">
        <w:rPr>
          <w:rFonts w:ascii="Times New Roman" w:eastAsiaTheme="minorEastAsia" w:hAnsi="Times New Roman" w:cs="Times New Roman"/>
          <w:sz w:val="24"/>
          <w:szCs w:val="24"/>
        </w:rPr>
        <w:t>clínico descritos</w:t>
      </w:r>
      <w:r w:rsidR="00512C3D">
        <w:rPr>
          <w:rFonts w:ascii="Times New Roman" w:eastAsiaTheme="minorEastAsia" w:hAnsi="Times New Roman" w:cs="Times New Roman"/>
          <w:sz w:val="24"/>
          <w:szCs w:val="24"/>
        </w:rPr>
        <w:t xml:space="preserve"> na Tabela 1.</w:t>
      </w:r>
    </w:p>
    <w:p w14:paraId="43F068AF" w14:textId="1E001391" w:rsidR="004E6789" w:rsidRDefault="00B77744" w:rsidP="00484BA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Com relação ao indicador de tempo em jejum o estudo mostra um valor elevado comparado </w:t>
      </w:r>
      <w:r w:rsidR="003F795A">
        <w:rPr>
          <w:rFonts w:ascii="Times New Roman" w:eastAsiaTheme="minorEastAsia" w:hAnsi="Times New Roman" w:cs="Times New Roman"/>
          <w:sz w:val="24"/>
          <w:szCs w:val="24"/>
        </w:rPr>
        <w:t xml:space="preserve">a VEROTTI, 2012 que atribui meta ≤12%. É proposto por VEROTTI, 2012 a atribuição de </w:t>
      </w:r>
      <w:r w:rsidR="007A60A8">
        <w:rPr>
          <w:rFonts w:ascii="Times New Roman" w:eastAsiaTheme="minorEastAsia" w:hAnsi="Times New Roman" w:cs="Times New Roman"/>
          <w:sz w:val="24"/>
          <w:szCs w:val="24"/>
        </w:rPr>
        <w:t>meta &lt;</w:t>
      </w:r>
      <w:r w:rsidR="003F795A">
        <w:rPr>
          <w:rFonts w:ascii="Times New Roman" w:eastAsiaTheme="minorEastAsia" w:hAnsi="Times New Roman" w:cs="Times New Roman"/>
          <w:sz w:val="24"/>
          <w:szCs w:val="24"/>
        </w:rPr>
        <w:t>15% para obstrução ou saída da sonda, o estudo demonstrou um percentual baixo comparado a meta</w:t>
      </w:r>
      <w:r w:rsidR="007A60A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F795A">
        <w:rPr>
          <w:rFonts w:ascii="Times New Roman" w:eastAsiaTheme="minorEastAsia" w:hAnsi="Times New Roman" w:cs="Times New Roman"/>
          <w:sz w:val="24"/>
          <w:szCs w:val="24"/>
        </w:rPr>
        <w:t xml:space="preserve"> sendo de 14%</w:t>
      </w:r>
      <w:r w:rsidR="007A60A8">
        <w:rPr>
          <w:rFonts w:ascii="Times New Roman" w:eastAsiaTheme="minorEastAsia" w:hAnsi="Times New Roman" w:cs="Times New Roman"/>
          <w:sz w:val="24"/>
          <w:szCs w:val="24"/>
        </w:rPr>
        <w:t>, em relação ao indicador que quantifica a presença de diarreia, o valor encontrado foi dentro do recomendado por VEROTTI, 2012 que propõe meta &lt;10%.</w:t>
      </w:r>
      <w:r w:rsidR="00141FE7">
        <w:rPr>
          <w:rFonts w:ascii="Times New Roman" w:eastAsiaTheme="minorEastAsia" w:hAnsi="Times New Roman" w:cs="Times New Roman"/>
          <w:sz w:val="24"/>
          <w:szCs w:val="24"/>
        </w:rPr>
        <w:t xml:space="preserve"> Sobre o indicador de frequência de infecção de cateter o estudo mostrou valor de 0%, VEROTTI, 2012 atribui meta infecção com bactéria &lt;2,5%, infecção sem bacteremia &lt;10% e infecção com bacteremia &lt;5%, a mesma propõe meta </w:t>
      </w:r>
      <w:r w:rsidR="00FC6D7E">
        <w:rPr>
          <w:rFonts w:ascii="Times New Roman" w:eastAsiaTheme="minorEastAsia" w:hAnsi="Times New Roman" w:cs="Times New Roman"/>
          <w:sz w:val="24"/>
          <w:szCs w:val="24"/>
        </w:rPr>
        <w:t xml:space="preserve">&gt;75% para o indicador de avalição nutricional, sendo o valor encontrado de 100%. </w:t>
      </w:r>
      <w:r w:rsidR="00A74BB6">
        <w:rPr>
          <w:rFonts w:ascii="Times New Roman" w:eastAsiaTheme="minorEastAsia" w:hAnsi="Times New Roman" w:cs="Times New Roman"/>
          <w:sz w:val="24"/>
          <w:szCs w:val="24"/>
        </w:rPr>
        <w:t xml:space="preserve">Quando identificado essas ocorrências, </w:t>
      </w:r>
      <w:r w:rsidR="00461293">
        <w:rPr>
          <w:rFonts w:ascii="Times New Roman" w:eastAsiaTheme="minorEastAsia" w:hAnsi="Times New Roman" w:cs="Times New Roman"/>
          <w:sz w:val="24"/>
          <w:szCs w:val="24"/>
        </w:rPr>
        <w:t xml:space="preserve">principalmente a </w:t>
      </w:r>
      <w:r w:rsidR="007A60A8">
        <w:rPr>
          <w:rFonts w:ascii="Times New Roman" w:eastAsiaTheme="minorEastAsia" w:hAnsi="Times New Roman" w:cs="Times New Roman"/>
          <w:sz w:val="24"/>
          <w:szCs w:val="24"/>
        </w:rPr>
        <w:t>presença</w:t>
      </w:r>
      <w:r w:rsidR="00461293">
        <w:rPr>
          <w:rFonts w:ascii="Times New Roman" w:eastAsiaTheme="minorEastAsia" w:hAnsi="Times New Roman" w:cs="Times New Roman"/>
          <w:sz w:val="24"/>
          <w:szCs w:val="24"/>
        </w:rPr>
        <w:t xml:space="preserve"> de diarreia o ideal é não interromper a terapia nutricional,</w:t>
      </w:r>
      <w:r w:rsidR="00926F29">
        <w:rPr>
          <w:rFonts w:ascii="Times New Roman" w:eastAsiaTheme="minorEastAsia" w:hAnsi="Times New Roman" w:cs="Times New Roman"/>
          <w:sz w:val="24"/>
          <w:szCs w:val="24"/>
        </w:rPr>
        <w:t xml:space="preserve"> deve-se atentar não somente ao tipo da dieta</w:t>
      </w:r>
      <w:r w:rsidR="00902FC0">
        <w:rPr>
          <w:rFonts w:ascii="Times New Roman" w:eastAsiaTheme="minorEastAsia" w:hAnsi="Times New Roman" w:cs="Times New Roman"/>
          <w:sz w:val="24"/>
          <w:szCs w:val="24"/>
        </w:rPr>
        <w:t>, mas as drogas prescritas</w:t>
      </w:r>
      <w:r w:rsidR="001C2F11">
        <w:rPr>
          <w:rFonts w:ascii="Times New Roman" w:eastAsiaTheme="minorEastAsia" w:hAnsi="Times New Roman" w:cs="Times New Roman"/>
          <w:sz w:val="24"/>
          <w:szCs w:val="24"/>
        </w:rPr>
        <w:t xml:space="preserve"> ou</w:t>
      </w:r>
      <w:r w:rsidR="00E45176">
        <w:rPr>
          <w:rFonts w:ascii="Times New Roman" w:eastAsiaTheme="minorEastAsia" w:hAnsi="Times New Roman" w:cs="Times New Roman"/>
          <w:sz w:val="24"/>
          <w:szCs w:val="24"/>
        </w:rPr>
        <w:t xml:space="preserve"> modo de preparo da diet</w:t>
      </w:r>
      <w:r w:rsidR="007A60A8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FC6D7E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926F29">
        <w:rPr>
          <w:rFonts w:ascii="Times New Roman" w:eastAsiaTheme="minorEastAsia" w:hAnsi="Times New Roman" w:cs="Times New Roman"/>
          <w:sz w:val="24"/>
          <w:szCs w:val="24"/>
        </w:rPr>
        <w:t xml:space="preserve">por </w:t>
      </w:r>
      <w:r w:rsidR="00926F29" w:rsidRPr="00DD15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exemplo</w:t>
      </w:r>
      <w:r w:rsidR="007A60A8" w:rsidRPr="00DD15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</w:t>
      </w:r>
      <w:r w:rsidR="005E2D21" w:rsidRPr="00DD15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CAMPOS </w:t>
      </w:r>
      <w:r w:rsidR="005E2D21" w:rsidRPr="00DD158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et al, </w:t>
      </w:r>
      <w:r w:rsidR="005E2D21" w:rsidRPr="00DD15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2018)</w:t>
      </w:r>
      <w:r w:rsidR="00926F29" w:rsidRPr="00DD15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926F29" w:rsidRPr="00CC34D3">
        <w:rPr>
          <w:rFonts w:ascii="Times New Roman" w:eastAsiaTheme="minorEastAsia" w:hAnsi="Times New Roman" w:cs="Times New Roman"/>
          <w:sz w:val="24"/>
          <w:szCs w:val="24"/>
        </w:rPr>
        <w:t>E</w:t>
      </w:r>
      <w:r w:rsidR="00461293" w:rsidRPr="00CC34D3">
        <w:rPr>
          <w:rFonts w:ascii="Times New Roman" w:eastAsiaTheme="minorEastAsia" w:hAnsi="Times New Roman" w:cs="Times New Roman"/>
          <w:sz w:val="24"/>
          <w:szCs w:val="24"/>
        </w:rPr>
        <w:t xml:space="preserve">m relação a obstrução e saída </w:t>
      </w:r>
      <w:r w:rsidR="002E4A12" w:rsidRPr="00CC34D3">
        <w:rPr>
          <w:rFonts w:ascii="Times New Roman" w:eastAsiaTheme="minorEastAsia" w:hAnsi="Times New Roman" w:cs="Times New Roman"/>
          <w:sz w:val="24"/>
          <w:szCs w:val="24"/>
        </w:rPr>
        <w:t xml:space="preserve">de sonda a equipe de enfermagem </w:t>
      </w:r>
      <w:r w:rsidR="00CC34D3">
        <w:rPr>
          <w:rFonts w:ascii="Times New Roman" w:eastAsiaTheme="minorEastAsia" w:hAnsi="Times New Roman" w:cs="Times New Roman"/>
          <w:sz w:val="24"/>
          <w:szCs w:val="24"/>
        </w:rPr>
        <w:t>deve</w:t>
      </w:r>
      <w:r w:rsidR="007A60A8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CC34D3">
        <w:rPr>
          <w:rFonts w:ascii="Times New Roman" w:eastAsiaTheme="minorEastAsia" w:hAnsi="Times New Roman" w:cs="Times New Roman"/>
          <w:sz w:val="24"/>
          <w:szCs w:val="24"/>
        </w:rPr>
        <w:t>se atentar a</w:t>
      </w:r>
      <w:r w:rsidR="002E4A12" w:rsidRPr="00CC34D3">
        <w:rPr>
          <w:rFonts w:ascii="Times New Roman" w:eastAsiaTheme="minorEastAsia" w:hAnsi="Times New Roman" w:cs="Times New Roman"/>
          <w:sz w:val="24"/>
          <w:szCs w:val="24"/>
        </w:rPr>
        <w:t>os</w:t>
      </w:r>
      <w:r w:rsidR="00CC34D3">
        <w:rPr>
          <w:rFonts w:ascii="Times New Roman" w:eastAsiaTheme="minorEastAsia" w:hAnsi="Times New Roman" w:cs="Times New Roman"/>
          <w:sz w:val="24"/>
          <w:szCs w:val="24"/>
        </w:rPr>
        <w:t xml:space="preserve"> cuidados de acessos en</w:t>
      </w:r>
      <w:r w:rsidR="00E45176">
        <w:rPr>
          <w:rFonts w:ascii="Times New Roman" w:eastAsiaTheme="minorEastAsia" w:hAnsi="Times New Roman" w:cs="Times New Roman"/>
          <w:sz w:val="24"/>
          <w:szCs w:val="24"/>
        </w:rPr>
        <w:t xml:space="preserve">terais, para minimizar o tempo </w:t>
      </w:r>
      <w:r w:rsidR="00CC34D3">
        <w:rPr>
          <w:rFonts w:ascii="Times New Roman" w:eastAsiaTheme="minorEastAsia" w:hAnsi="Times New Roman" w:cs="Times New Roman"/>
          <w:sz w:val="24"/>
          <w:szCs w:val="24"/>
        </w:rPr>
        <w:t>e</w:t>
      </w:r>
      <w:r w:rsidR="00E45176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CC34D3">
        <w:rPr>
          <w:rFonts w:ascii="Times New Roman" w:eastAsiaTheme="minorEastAsia" w:hAnsi="Times New Roman" w:cs="Times New Roman"/>
          <w:sz w:val="24"/>
          <w:szCs w:val="24"/>
        </w:rPr>
        <w:t xml:space="preserve"> jejum</w:t>
      </w:r>
      <w:r w:rsidR="005E2D21">
        <w:rPr>
          <w:rFonts w:ascii="Times New Roman" w:eastAsiaTheme="minorEastAsia" w:hAnsi="Times New Roman" w:cs="Times New Roman"/>
          <w:sz w:val="24"/>
          <w:szCs w:val="24"/>
        </w:rPr>
        <w:t xml:space="preserve"> (TOLEDO </w:t>
      </w:r>
      <w:r w:rsidR="005E2D21">
        <w:rPr>
          <w:rFonts w:ascii="Times New Roman" w:eastAsiaTheme="minorEastAsia" w:hAnsi="Times New Roman" w:cs="Times New Roman"/>
          <w:i/>
          <w:sz w:val="24"/>
          <w:szCs w:val="24"/>
        </w:rPr>
        <w:t xml:space="preserve">et al, </w:t>
      </w:r>
      <w:r w:rsidR="005E2D21">
        <w:rPr>
          <w:rFonts w:ascii="Times New Roman" w:eastAsiaTheme="minorEastAsia" w:hAnsi="Times New Roman" w:cs="Times New Roman"/>
          <w:sz w:val="24"/>
          <w:szCs w:val="24"/>
        </w:rPr>
        <w:t>2018).</w:t>
      </w:r>
    </w:p>
    <w:p w14:paraId="03FB7659" w14:textId="77777777" w:rsidR="00FC6D7E" w:rsidRPr="005E2D21" w:rsidRDefault="00FC6D7E" w:rsidP="00484BA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8ECD724" w14:textId="77777777" w:rsidR="004E6789" w:rsidRDefault="004E6789" w:rsidP="00484BA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1066A8D" w14:textId="70333B3E" w:rsidR="00484BA8" w:rsidRDefault="00484BA8" w:rsidP="00484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Tabela 2. </w:t>
      </w:r>
      <w:r>
        <w:rPr>
          <w:rFonts w:ascii="Times New Roman" w:hAnsi="Times New Roman" w:cs="Times New Roman"/>
          <w:sz w:val="24"/>
          <w:szCs w:val="24"/>
        </w:rPr>
        <w:t xml:space="preserve">Diagnóstico </w:t>
      </w:r>
      <w:r w:rsidR="00633E1D">
        <w:rPr>
          <w:rFonts w:ascii="Times New Roman" w:hAnsi="Times New Roman" w:cs="Times New Roman"/>
          <w:sz w:val="24"/>
          <w:szCs w:val="24"/>
        </w:rPr>
        <w:t>nutricional x Indicadores</w:t>
      </w:r>
      <w:r w:rsidR="00713827">
        <w:rPr>
          <w:rFonts w:ascii="Times New Roman" w:hAnsi="Times New Roman" w:cs="Times New Roman"/>
          <w:sz w:val="24"/>
          <w:szCs w:val="24"/>
        </w:rPr>
        <w:t xml:space="preserve"> de qualidade dos pacientes internados no Hospital de Câncer-MT</w:t>
      </w:r>
      <w:r w:rsidR="007B11E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560"/>
        <w:gridCol w:w="1701"/>
        <w:gridCol w:w="1723"/>
      </w:tblGrid>
      <w:tr w:rsidR="00484BA8" w14:paraId="024EA42B" w14:textId="77777777" w:rsidTr="004206CF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328168" w14:textId="77777777" w:rsidR="00484BA8" w:rsidRDefault="00B3329D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Indicadores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B58FC" w14:textId="22D3B719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ASG</w:t>
            </w:r>
            <w:r w:rsidR="001B4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D21">
              <w:rPr>
                <w:rFonts w:ascii="Times New Roman" w:hAnsi="Times New Roman" w:cs="Times New Roman"/>
                <w:sz w:val="24"/>
                <w:szCs w:val="24"/>
              </w:rPr>
              <w:t>PPP</w:t>
            </w:r>
            <w:r w:rsidR="001B4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18C19" w14:textId="1AD89B78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ASG</w:t>
            </w:r>
            <w:r w:rsidR="001B4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D21">
              <w:rPr>
                <w:rFonts w:ascii="Times New Roman" w:hAnsi="Times New Roman" w:cs="Times New Roman"/>
                <w:sz w:val="24"/>
                <w:szCs w:val="24"/>
              </w:rPr>
              <w:t>PPP</w:t>
            </w:r>
            <w:r w:rsidR="001B4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5858AD" w14:textId="03C1C188" w:rsidR="00484BA8" w:rsidRDefault="00484BA8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ASG</w:t>
            </w:r>
            <w:r w:rsidR="001B4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D21">
              <w:rPr>
                <w:rFonts w:ascii="Times New Roman" w:hAnsi="Times New Roman" w:cs="Times New Roman"/>
                <w:sz w:val="24"/>
                <w:szCs w:val="24"/>
              </w:rPr>
              <w:t>PPP</w:t>
            </w:r>
            <w:r w:rsidR="001B4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84BA8" w14:paraId="40F443E2" w14:textId="77777777" w:rsidTr="004206CF">
        <w:tc>
          <w:tcPr>
            <w:tcW w:w="3510" w:type="dxa"/>
            <w:tcBorders>
              <w:top w:val="single" w:sz="4" w:space="0" w:color="auto"/>
              <w:right w:val="nil"/>
            </w:tcBorders>
          </w:tcPr>
          <w:p w14:paraId="1DFCA565" w14:textId="77777777" w:rsidR="00484BA8" w:rsidRDefault="00C82D5B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 em jejum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14:paraId="0061C7C6" w14:textId="02BBC106" w:rsidR="00484BA8" w:rsidRDefault="00A839D1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84B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4239A443" w14:textId="15AC2B7A" w:rsidR="00484BA8" w:rsidRDefault="00A839D1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84B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</w:tcBorders>
          </w:tcPr>
          <w:p w14:paraId="385F740F" w14:textId="4A2A3DDA" w:rsidR="00484BA8" w:rsidRDefault="00A839D1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484BA8" w14:paraId="2034742C" w14:textId="77777777" w:rsidTr="004206CF">
        <w:tc>
          <w:tcPr>
            <w:tcW w:w="3510" w:type="dxa"/>
            <w:tcBorders>
              <w:right w:val="nil"/>
            </w:tcBorders>
          </w:tcPr>
          <w:p w14:paraId="75DD062C" w14:textId="77777777" w:rsidR="00484BA8" w:rsidRDefault="00484BA8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Náuseas e vômitos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3B42B45B" w14:textId="77E8C7BC" w:rsidR="00484BA8" w:rsidRDefault="00A839D1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4B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90DCFF8" w14:textId="090CB76C" w:rsidR="00484BA8" w:rsidRDefault="00A839D1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4B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23" w:type="dxa"/>
            <w:tcBorders>
              <w:left w:val="nil"/>
            </w:tcBorders>
          </w:tcPr>
          <w:p w14:paraId="71F00674" w14:textId="71DCA302" w:rsidR="00484BA8" w:rsidRDefault="00A839D1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84B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4BA8" w14:paraId="6C44C905" w14:textId="77777777" w:rsidTr="004206CF">
        <w:tc>
          <w:tcPr>
            <w:tcW w:w="3510" w:type="dxa"/>
            <w:tcBorders>
              <w:right w:val="nil"/>
            </w:tcBorders>
          </w:tcPr>
          <w:p w14:paraId="17598258" w14:textId="77777777" w:rsidR="00484BA8" w:rsidRDefault="00484BA8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Distensão abdominal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5FEA32F3" w14:textId="107464EF" w:rsidR="00484BA8" w:rsidRDefault="00A839D1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84B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6B16AF8" w14:textId="4648B547" w:rsidR="00484BA8" w:rsidRDefault="00A839D1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84B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23" w:type="dxa"/>
            <w:tcBorders>
              <w:left w:val="nil"/>
            </w:tcBorders>
          </w:tcPr>
          <w:p w14:paraId="4F618C00" w14:textId="4F339AF7" w:rsidR="00484BA8" w:rsidRDefault="00A839D1" w:rsidP="00A839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84B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4BA8" w14:paraId="2A7FB981" w14:textId="77777777" w:rsidTr="00C96407">
        <w:tc>
          <w:tcPr>
            <w:tcW w:w="3510" w:type="dxa"/>
            <w:tcBorders>
              <w:right w:val="nil"/>
            </w:tcBorders>
          </w:tcPr>
          <w:p w14:paraId="25E0A9AC" w14:textId="77777777" w:rsidR="00484BA8" w:rsidRDefault="00484BA8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Obstrução ou saída da sonda 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36D9F1D8" w14:textId="23C63C50" w:rsidR="00484BA8" w:rsidRDefault="00A839D1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84B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21FB472" w14:textId="0AF4EA34" w:rsidR="00484BA8" w:rsidRDefault="00A839D1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4B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23" w:type="dxa"/>
            <w:tcBorders>
              <w:left w:val="nil"/>
              <w:bottom w:val="nil"/>
            </w:tcBorders>
          </w:tcPr>
          <w:p w14:paraId="755A7677" w14:textId="14CD5CFA" w:rsidR="00484BA8" w:rsidRDefault="00A839D1" w:rsidP="00484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84B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4BA8" w14:paraId="5EB18924" w14:textId="77777777" w:rsidTr="00A839D1">
        <w:trPr>
          <w:trHeight w:val="284"/>
        </w:trPr>
        <w:tc>
          <w:tcPr>
            <w:tcW w:w="3510" w:type="dxa"/>
            <w:tcBorders>
              <w:bottom w:val="single" w:sz="4" w:space="0" w:color="auto"/>
              <w:right w:val="nil"/>
            </w:tcBorders>
          </w:tcPr>
          <w:p w14:paraId="6AA9E32B" w14:textId="27995FC7" w:rsidR="00C96407" w:rsidRDefault="00484BA8" w:rsidP="00484B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Diarreia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5A0BA5AC" w14:textId="690C6561" w:rsidR="00633E1D" w:rsidRDefault="00A839D1" w:rsidP="00A839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4B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1A66D3DF" w14:textId="70C9810A" w:rsidR="00633E1D" w:rsidRDefault="00A839D1" w:rsidP="00A839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4B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CB250" w14:textId="05940954" w:rsidR="00C96407" w:rsidRDefault="00A839D1" w:rsidP="00C9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9640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5BE7215D" w14:textId="77777777" w:rsidR="00B433B9" w:rsidRDefault="00B433B9" w:rsidP="00B433B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F65A33C" w14:textId="3954E7A9" w:rsidR="000D7DDF" w:rsidRDefault="00B433B9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Diante do resultado de diagnóstico nutricional, aqueles pacientes que se encontram com desnutrição grave (ASG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A839D1">
        <w:rPr>
          <w:rFonts w:ascii="Times New Roman" w:eastAsiaTheme="minorEastAsia" w:hAnsi="Times New Roman" w:cs="Times New Roman"/>
          <w:sz w:val="24"/>
          <w:szCs w:val="24"/>
        </w:rPr>
        <w:t>PPP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C), tiveram um valor significativo em comparação aos pacientes classificados como bem nutrido (ASG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A839D1">
        <w:rPr>
          <w:rFonts w:ascii="Times New Roman" w:eastAsiaTheme="minorEastAsia" w:hAnsi="Times New Roman" w:cs="Times New Roman"/>
          <w:sz w:val="24"/>
          <w:szCs w:val="24"/>
        </w:rPr>
        <w:t>PPP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E45176">
        <w:rPr>
          <w:rFonts w:ascii="Times New Roman" w:eastAsiaTheme="minorEastAsia" w:hAnsi="Times New Roman" w:cs="Times New Roman"/>
          <w:sz w:val="24"/>
          <w:szCs w:val="24"/>
        </w:rPr>
        <w:t>) 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desnutrição moderada ou suspeita de desnutrição (ASG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A839D1">
        <w:rPr>
          <w:rFonts w:ascii="Times New Roman" w:eastAsiaTheme="minorEastAsia" w:hAnsi="Times New Roman" w:cs="Times New Roman"/>
          <w:sz w:val="24"/>
          <w:szCs w:val="24"/>
        </w:rPr>
        <w:t>PPP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B) referentes aos indicadores de qualidade. </w:t>
      </w:r>
      <w:r w:rsidR="000D7DDF">
        <w:rPr>
          <w:rFonts w:ascii="Times New Roman" w:eastAsiaTheme="minorEastAsia" w:hAnsi="Times New Roman" w:cs="Times New Roman"/>
          <w:sz w:val="24"/>
          <w:szCs w:val="24"/>
        </w:rPr>
        <w:t>Na Tabela 2 demonstra que o diagnóstico nutricional ASG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0D7DDF">
        <w:rPr>
          <w:rFonts w:ascii="Times New Roman" w:eastAsiaTheme="minorEastAsia" w:hAnsi="Times New Roman" w:cs="Times New Roman"/>
          <w:sz w:val="24"/>
          <w:szCs w:val="24"/>
        </w:rPr>
        <w:t>PPP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D7DDF">
        <w:rPr>
          <w:rFonts w:ascii="Times New Roman" w:eastAsiaTheme="minorEastAsia" w:hAnsi="Times New Roman" w:cs="Times New Roman"/>
          <w:sz w:val="24"/>
          <w:szCs w:val="24"/>
        </w:rPr>
        <w:t xml:space="preserve">A indicou 37% para tempo em </w:t>
      </w:r>
      <w:r w:rsidR="000D7DDF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jejum, 0% para náuseas, vômitos e diarreia e 12% para </w:t>
      </w:r>
      <w:r w:rsidR="0010644A">
        <w:rPr>
          <w:rFonts w:ascii="Times New Roman" w:eastAsiaTheme="minorEastAsia" w:hAnsi="Times New Roman" w:cs="Times New Roman"/>
          <w:sz w:val="24"/>
          <w:szCs w:val="24"/>
        </w:rPr>
        <w:t>distensão abdominal e obstrução ou saída da sonda, nos pacientes classificados em ASG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10644A">
        <w:rPr>
          <w:rFonts w:ascii="Times New Roman" w:eastAsiaTheme="minorEastAsia" w:hAnsi="Times New Roman" w:cs="Times New Roman"/>
          <w:sz w:val="24"/>
          <w:szCs w:val="24"/>
        </w:rPr>
        <w:t>PPP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0644A">
        <w:rPr>
          <w:rFonts w:ascii="Times New Roman" w:eastAsiaTheme="minorEastAsia" w:hAnsi="Times New Roman" w:cs="Times New Roman"/>
          <w:sz w:val="24"/>
          <w:szCs w:val="24"/>
        </w:rPr>
        <w:t xml:space="preserve">B apresentou 27% para tempo em jejum, 9% para náuseas, vômitos e diarreia, 18% para distensão abdominal e 0% para obstrução ou saída da sonda, 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>no entanto aqueles pacientes diagnosticados em ASG-PPP C</w:t>
      </w:r>
      <w:r w:rsidR="001229A0">
        <w:rPr>
          <w:rFonts w:ascii="Times New Roman" w:eastAsiaTheme="minorEastAsia" w:hAnsi="Times New Roman" w:cs="Times New Roman"/>
          <w:sz w:val="24"/>
          <w:szCs w:val="24"/>
        </w:rPr>
        <w:t xml:space="preserve"> indicou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 xml:space="preserve"> 29% para tempo em jejum, 16% para náuseas e vômitos, 48% para distensão abdominal, 19% para obstrução ou saída da sonda e 12% para diarreia.</w:t>
      </w:r>
    </w:p>
    <w:p w14:paraId="4CF7CD38" w14:textId="2212FA1F" w:rsidR="00BB5D2A" w:rsidRPr="001229A0" w:rsidRDefault="00BB5D2A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Dos pacientes classificados em ASG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7B4BAB">
        <w:rPr>
          <w:rFonts w:ascii="Times New Roman" w:eastAsiaTheme="minorEastAsia" w:hAnsi="Times New Roman" w:cs="Times New Roman"/>
          <w:sz w:val="24"/>
          <w:szCs w:val="24"/>
        </w:rPr>
        <w:t>PPP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404CDD">
        <w:rPr>
          <w:rFonts w:ascii="Times New Roman" w:eastAsiaTheme="minorEastAsia" w:hAnsi="Times New Roman" w:cs="Times New Roman"/>
          <w:sz w:val="24"/>
          <w:szCs w:val="24"/>
        </w:rPr>
        <w:t xml:space="preserve"> e</w:t>
      </w:r>
      <w:r w:rsidR="005C2798">
        <w:rPr>
          <w:rFonts w:ascii="Times New Roman" w:eastAsiaTheme="minorEastAsia" w:hAnsi="Times New Roman" w:cs="Times New Roman"/>
          <w:sz w:val="24"/>
          <w:szCs w:val="24"/>
        </w:rPr>
        <w:t xml:space="preserve"> ASG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7B4BAB">
        <w:rPr>
          <w:rFonts w:ascii="Times New Roman" w:eastAsiaTheme="minorEastAsia" w:hAnsi="Times New Roman" w:cs="Times New Roman"/>
          <w:sz w:val="24"/>
          <w:szCs w:val="24"/>
        </w:rPr>
        <w:t>PPP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C2798">
        <w:rPr>
          <w:rFonts w:ascii="Times New Roman" w:eastAsiaTheme="minorEastAsia" w:hAnsi="Times New Roman" w:cs="Times New Roman"/>
          <w:sz w:val="24"/>
          <w:szCs w:val="24"/>
        </w:rPr>
        <w:t xml:space="preserve">B </w:t>
      </w:r>
      <w:r w:rsidR="007B4BAB">
        <w:rPr>
          <w:rFonts w:ascii="Times New Roman" w:eastAsiaTheme="minorEastAsia" w:hAnsi="Times New Roman" w:cs="Times New Roman"/>
          <w:sz w:val="24"/>
          <w:szCs w:val="24"/>
        </w:rPr>
        <w:t>o tempo em jejum</w:t>
      </w:r>
      <w:r w:rsidR="005C2798">
        <w:rPr>
          <w:rFonts w:ascii="Times New Roman" w:eastAsiaTheme="minorEastAsia" w:hAnsi="Times New Roman" w:cs="Times New Roman"/>
          <w:sz w:val="24"/>
          <w:szCs w:val="24"/>
        </w:rPr>
        <w:t xml:space="preserve"> foi a complicação </w:t>
      </w:r>
      <w:r w:rsidR="000D7DDF">
        <w:rPr>
          <w:rFonts w:ascii="Times New Roman" w:eastAsiaTheme="minorEastAsia" w:hAnsi="Times New Roman" w:cs="Times New Roman"/>
          <w:sz w:val="24"/>
          <w:szCs w:val="24"/>
        </w:rPr>
        <w:t>de</w:t>
      </w:r>
      <w:r w:rsidR="005C2798">
        <w:rPr>
          <w:rFonts w:ascii="Times New Roman" w:eastAsiaTheme="minorEastAsia" w:hAnsi="Times New Roman" w:cs="Times New Roman"/>
          <w:sz w:val="24"/>
          <w:szCs w:val="24"/>
        </w:rPr>
        <w:t xml:space="preserve"> maior prevalência</w:t>
      </w:r>
      <w:r w:rsidR="000D7DDF">
        <w:rPr>
          <w:rFonts w:ascii="Times New Roman" w:eastAsiaTheme="minorEastAsia" w:hAnsi="Times New Roman" w:cs="Times New Roman"/>
          <w:sz w:val="24"/>
          <w:szCs w:val="24"/>
        </w:rPr>
        <w:t>, já dos pacientes diagnosticado em ASG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0D7DDF">
        <w:rPr>
          <w:rFonts w:ascii="Times New Roman" w:eastAsiaTheme="minorEastAsia" w:hAnsi="Times New Roman" w:cs="Times New Roman"/>
          <w:sz w:val="24"/>
          <w:szCs w:val="24"/>
        </w:rPr>
        <w:t>PPP</w:t>
      </w:r>
      <w:r w:rsidR="001B42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D7DDF">
        <w:rPr>
          <w:rFonts w:ascii="Times New Roman" w:eastAsiaTheme="minorEastAsia" w:hAnsi="Times New Roman" w:cs="Times New Roman"/>
          <w:sz w:val="24"/>
          <w:szCs w:val="24"/>
        </w:rPr>
        <w:t>C foi o indicador de distensão abdominal</w:t>
      </w:r>
      <w:r w:rsidR="00E45176">
        <w:rPr>
          <w:rFonts w:ascii="Times New Roman" w:eastAsiaTheme="minorEastAsia" w:hAnsi="Times New Roman" w:cs="Times New Roman"/>
          <w:sz w:val="24"/>
          <w:szCs w:val="24"/>
        </w:rPr>
        <w:t xml:space="preserve"> representad</w:t>
      </w:r>
      <w:r w:rsidR="000D7DDF">
        <w:rPr>
          <w:rFonts w:ascii="Times New Roman" w:eastAsiaTheme="minorEastAsia" w:hAnsi="Times New Roman" w:cs="Times New Roman"/>
          <w:sz w:val="24"/>
          <w:szCs w:val="24"/>
        </w:rPr>
        <w:t>os</w:t>
      </w:r>
      <w:r w:rsidR="005C2798">
        <w:rPr>
          <w:rFonts w:ascii="Times New Roman" w:eastAsiaTheme="minorEastAsia" w:hAnsi="Times New Roman" w:cs="Times New Roman"/>
          <w:sz w:val="24"/>
          <w:szCs w:val="24"/>
        </w:rPr>
        <w:t xml:space="preserve"> na Tabela 2.</w:t>
      </w:r>
      <w:r w:rsidR="00A74BB6">
        <w:rPr>
          <w:rFonts w:ascii="Times New Roman" w:eastAsiaTheme="minorEastAsia" w:hAnsi="Times New Roman" w:cs="Times New Roman"/>
          <w:sz w:val="24"/>
          <w:szCs w:val="24"/>
        </w:rPr>
        <w:t xml:space="preserve"> Entretanto </w:t>
      </w:r>
      <w:r w:rsidR="001229A0">
        <w:rPr>
          <w:rFonts w:ascii="Times New Roman" w:eastAsiaTheme="minorEastAsia" w:hAnsi="Times New Roman" w:cs="Times New Roman"/>
          <w:sz w:val="24"/>
          <w:szCs w:val="24"/>
        </w:rPr>
        <w:t>a maioria dos</w:t>
      </w:r>
      <w:r w:rsidR="00A74B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B4BAB">
        <w:rPr>
          <w:rFonts w:ascii="Times New Roman" w:eastAsiaTheme="minorEastAsia" w:hAnsi="Times New Roman" w:cs="Times New Roman"/>
          <w:sz w:val="24"/>
          <w:szCs w:val="24"/>
        </w:rPr>
        <w:t xml:space="preserve">percentuais </w:t>
      </w:r>
      <w:r w:rsidR="00A74BB6">
        <w:rPr>
          <w:rFonts w:ascii="Times New Roman" w:eastAsiaTheme="minorEastAsia" w:hAnsi="Times New Roman" w:cs="Times New Roman"/>
          <w:sz w:val="24"/>
          <w:szCs w:val="24"/>
        </w:rPr>
        <w:t>fo</w:t>
      </w:r>
      <w:r w:rsidR="007B4BAB">
        <w:rPr>
          <w:rFonts w:ascii="Times New Roman" w:eastAsiaTheme="minorEastAsia" w:hAnsi="Times New Roman" w:cs="Times New Roman"/>
          <w:sz w:val="24"/>
          <w:szCs w:val="24"/>
        </w:rPr>
        <w:t>ram</w:t>
      </w:r>
      <w:r w:rsidR="00A74B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B4BAB">
        <w:rPr>
          <w:rFonts w:ascii="Times New Roman" w:eastAsiaTheme="minorEastAsia" w:hAnsi="Times New Roman" w:cs="Times New Roman"/>
          <w:sz w:val="24"/>
          <w:szCs w:val="24"/>
        </w:rPr>
        <w:t>superiores</w:t>
      </w:r>
      <w:r w:rsidR="00A74BB6">
        <w:rPr>
          <w:rFonts w:ascii="Times New Roman" w:eastAsiaTheme="minorEastAsia" w:hAnsi="Times New Roman" w:cs="Times New Roman"/>
          <w:sz w:val="24"/>
          <w:szCs w:val="24"/>
        </w:rPr>
        <w:t xml:space="preserve"> ao pa</w:t>
      </w:r>
      <w:r w:rsidR="00BF4DA7">
        <w:rPr>
          <w:rFonts w:ascii="Times New Roman" w:eastAsiaTheme="minorEastAsia" w:hAnsi="Times New Roman" w:cs="Times New Roman"/>
          <w:sz w:val="24"/>
          <w:szCs w:val="24"/>
        </w:rPr>
        <w:t>drão de referência estabelecido</w:t>
      </w:r>
      <w:r w:rsidR="00A74BB6">
        <w:rPr>
          <w:rFonts w:ascii="Times New Roman" w:eastAsiaTheme="minorEastAsia" w:hAnsi="Times New Roman" w:cs="Times New Roman"/>
          <w:sz w:val="24"/>
          <w:szCs w:val="24"/>
        </w:rPr>
        <w:t xml:space="preserve"> por </w:t>
      </w:r>
      <w:r w:rsidR="00DE658E">
        <w:rPr>
          <w:rFonts w:ascii="Times New Roman" w:eastAsiaTheme="minorEastAsia" w:hAnsi="Times New Roman" w:cs="Times New Roman"/>
          <w:sz w:val="24"/>
          <w:szCs w:val="24"/>
        </w:rPr>
        <w:t>VEROTTI, 2012.</w:t>
      </w:r>
      <w:r w:rsidR="0089072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F4DA7">
        <w:rPr>
          <w:rFonts w:ascii="Times New Roman" w:eastAsiaTheme="minorEastAsia" w:hAnsi="Times New Roman" w:cs="Times New Roman"/>
          <w:sz w:val="24"/>
          <w:szCs w:val="24"/>
        </w:rPr>
        <w:t xml:space="preserve">A mesma afirma que os indicadores de qualidade possibilitam identificar algumas dificuldades e falhas, sendo importantes ferramentas de avaliação associados aos protocolos de cuidados nutricionais. </w:t>
      </w:r>
    </w:p>
    <w:p w14:paraId="5988AE6A" w14:textId="77777777" w:rsidR="00073AFE" w:rsidRDefault="00B433B9" w:rsidP="00484BA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C4BD7">
        <w:rPr>
          <w:rFonts w:ascii="Times New Roman" w:eastAsiaTheme="minorEastAsia" w:hAnsi="Times New Roman" w:cs="Times New Roman"/>
          <w:sz w:val="24"/>
          <w:szCs w:val="24"/>
        </w:rPr>
        <w:t>Em relação ao indicador que quantifica o volume prescrito versus o volume infundido, não foi pos</w:t>
      </w:r>
      <w:r w:rsidR="00847BB3">
        <w:rPr>
          <w:rFonts w:ascii="Times New Roman" w:eastAsiaTheme="minorEastAsia" w:hAnsi="Times New Roman" w:cs="Times New Roman"/>
          <w:sz w:val="24"/>
          <w:szCs w:val="24"/>
        </w:rPr>
        <w:t>sível avaliar</w:t>
      </w:r>
      <w:r w:rsidR="00C50BEF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847BB3">
        <w:rPr>
          <w:rFonts w:ascii="Times New Roman" w:eastAsiaTheme="minorEastAsia" w:hAnsi="Times New Roman" w:cs="Times New Roman"/>
          <w:sz w:val="24"/>
          <w:szCs w:val="24"/>
        </w:rPr>
        <w:t xml:space="preserve"> devido ao hospital ainda não fazer a análise periódica da oferta admin</w:t>
      </w:r>
      <w:r w:rsidR="00C50BEF">
        <w:rPr>
          <w:rFonts w:ascii="Times New Roman" w:eastAsiaTheme="minorEastAsia" w:hAnsi="Times New Roman" w:cs="Times New Roman"/>
          <w:sz w:val="24"/>
          <w:szCs w:val="24"/>
        </w:rPr>
        <w:t>istrada se</w:t>
      </w:r>
      <w:r w:rsidR="00847BB3">
        <w:rPr>
          <w:rFonts w:ascii="Times New Roman" w:eastAsiaTheme="minorEastAsia" w:hAnsi="Times New Roman" w:cs="Times New Roman"/>
          <w:sz w:val="24"/>
          <w:szCs w:val="24"/>
        </w:rPr>
        <w:t xml:space="preserve"> suficiente para demanda nutricional dos pacientes em terapia nutricional.</w:t>
      </w:r>
    </w:p>
    <w:p w14:paraId="6B9806E0" w14:textId="77777777" w:rsidR="00C50BEF" w:rsidRDefault="00C50BEF" w:rsidP="00484BA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24CAE92" w14:textId="7C27AA62" w:rsidR="00073AFE" w:rsidRPr="00073AFE" w:rsidRDefault="00A34CCE" w:rsidP="00484BA8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Figura</w:t>
      </w:r>
      <w:r w:rsidR="00073AFE">
        <w:rPr>
          <w:rFonts w:ascii="Times New Roman" w:eastAsiaTheme="minorEastAsia" w:hAnsi="Times New Roman" w:cs="Times New Roman"/>
          <w:b/>
          <w:sz w:val="24"/>
          <w:szCs w:val="24"/>
        </w:rPr>
        <w:t xml:space="preserve"> 1. </w:t>
      </w:r>
      <w:r w:rsidR="00073AFE" w:rsidRPr="00073AFE">
        <w:rPr>
          <w:rFonts w:ascii="Times New Roman" w:eastAsiaTheme="minorEastAsia" w:hAnsi="Times New Roman" w:cs="Times New Roman"/>
          <w:sz w:val="24"/>
          <w:szCs w:val="24"/>
        </w:rPr>
        <w:t xml:space="preserve">Diagnóstico nutricional </w:t>
      </w:r>
      <w:r w:rsidR="006272DA" w:rsidRPr="00073AFE">
        <w:rPr>
          <w:rFonts w:ascii="Times New Roman" w:eastAsiaTheme="minorEastAsia" w:hAnsi="Times New Roman" w:cs="Times New Roman"/>
          <w:sz w:val="24"/>
          <w:szCs w:val="24"/>
        </w:rPr>
        <w:t>x diagnóstico</w:t>
      </w:r>
      <w:r w:rsidR="00073AFE" w:rsidRPr="00073AFE">
        <w:rPr>
          <w:rFonts w:ascii="Times New Roman" w:eastAsiaTheme="minorEastAsia" w:hAnsi="Times New Roman" w:cs="Times New Roman"/>
          <w:sz w:val="24"/>
          <w:szCs w:val="24"/>
        </w:rPr>
        <w:t xml:space="preserve"> clínico</w:t>
      </w:r>
      <w:r w:rsidR="00E3232C">
        <w:rPr>
          <w:rFonts w:ascii="Times New Roman" w:eastAsiaTheme="minorEastAsia" w:hAnsi="Times New Roman" w:cs="Times New Roman"/>
          <w:sz w:val="24"/>
          <w:szCs w:val="24"/>
        </w:rPr>
        <w:t xml:space="preserve"> dos pacientes internados no Hospital de Câncer-MT. </w:t>
      </w:r>
    </w:p>
    <w:p w14:paraId="188356E6" w14:textId="235245A3" w:rsidR="00C634EF" w:rsidRDefault="00073AFE" w:rsidP="00484BA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7262C">
        <w:rPr>
          <w:rFonts w:ascii="Times New Roman" w:hAnsi="Times New Roman" w:cs="Times New Roman"/>
          <w:noProof/>
          <w:sz w:val="24"/>
          <w:lang w:eastAsia="pt-BR"/>
        </w:rPr>
        <w:drawing>
          <wp:inline distT="0" distB="0" distL="0" distR="0" wp14:anchorId="1526504B" wp14:editId="1CEB9E52">
            <wp:extent cx="5353050" cy="3599815"/>
            <wp:effectExtent l="0" t="0" r="0" b="63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EE54042-8114-40A5-8B88-A159CE4FD7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0C72055" w14:textId="5C169DCC" w:rsidR="006272DA" w:rsidRDefault="0016337D" w:rsidP="00484BA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A Figura 1</w:t>
      </w:r>
      <w:r w:rsidR="00233C22">
        <w:rPr>
          <w:rFonts w:ascii="Times New Roman" w:eastAsiaTheme="minorEastAsia" w:hAnsi="Times New Roman" w:cs="Times New Roman"/>
          <w:sz w:val="24"/>
          <w:szCs w:val="24"/>
        </w:rPr>
        <w:t xml:space="preserve"> retratou que 8 pacientes foram classificados em ASG-PPP A, mostrando que aproximadamente 90% desses estavam com câncer de outros sítios e 12,5% com câncer do TGI,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em seguida 11 pacientes foram classificados em ASG-PPP B, sendo 9% em diagnóstico clínico, aproximadamente 54% com câncer </w:t>
      </w:r>
      <w:r w:rsidR="008A2946">
        <w:rPr>
          <w:rFonts w:ascii="Times New Roman" w:eastAsiaTheme="minorEastAsia" w:hAnsi="Times New Roman" w:cs="Times New Roman"/>
          <w:sz w:val="24"/>
          <w:szCs w:val="24"/>
        </w:rPr>
        <w:t>e 36% câncer do TGI e por fim 31 pacientes foram classificados em ASG-PPP C, 16% em diagnóstico clínico, 42% câncer e câncer do TGI.</w:t>
      </w:r>
    </w:p>
    <w:p w14:paraId="01A97B78" w14:textId="6349C563" w:rsidR="00073AFE" w:rsidRPr="00012419" w:rsidRDefault="006272DA" w:rsidP="00484BA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C634EF">
        <w:rPr>
          <w:rFonts w:ascii="Times New Roman" w:eastAsiaTheme="minorEastAsia" w:hAnsi="Times New Roman" w:cs="Times New Roman"/>
          <w:sz w:val="24"/>
          <w:szCs w:val="24"/>
        </w:rPr>
        <w:t>om grande satisfação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foi</w:t>
      </w:r>
      <w:r w:rsidR="0089072E">
        <w:rPr>
          <w:rFonts w:ascii="Times New Roman" w:eastAsiaTheme="minorEastAsia" w:hAnsi="Times New Roman" w:cs="Times New Roman"/>
          <w:sz w:val="24"/>
          <w:szCs w:val="24"/>
        </w:rPr>
        <w:t xml:space="preserve"> observ</w:t>
      </w:r>
      <w:r>
        <w:rPr>
          <w:rFonts w:ascii="Times New Roman" w:eastAsiaTheme="minorEastAsia" w:hAnsi="Times New Roman" w:cs="Times New Roman"/>
          <w:sz w:val="24"/>
          <w:szCs w:val="24"/>
        </w:rPr>
        <w:t>ado</w:t>
      </w:r>
      <w:r w:rsidR="00C634EF">
        <w:rPr>
          <w:rFonts w:ascii="Times New Roman" w:eastAsiaTheme="minorEastAsia" w:hAnsi="Times New Roman" w:cs="Times New Roman"/>
          <w:sz w:val="24"/>
          <w:szCs w:val="24"/>
        </w:rPr>
        <w:t xml:space="preserve"> no hospital </w:t>
      </w:r>
      <w:r w:rsidR="0089072E">
        <w:rPr>
          <w:rFonts w:ascii="Times New Roman" w:eastAsiaTheme="minorEastAsia" w:hAnsi="Times New Roman" w:cs="Times New Roman"/>
          <w:sz w:val="24"/>
          <w:szCs w:val="24"/>
        </w:rPr>
        <w:t xml:space="preserve">estudado, resultados significativos dos dados </w:t>
      </w:r>
      <w:r w:rsidR="00C634EF">
        <w:rPr>
          <w:rFonts w:ascii="Times New Roman" w:eastAsiaTheme="minorEastAsia" w:hAnsi="Times New Roman" w:cs="Times New Roman"/>
          <w:sz w:val="24"/>
          <w:szCs w:val="24"/>
        </w:rPr>
        <w:t>encontrados</w:t>
      </w:r>
      <w:r w:rsidR="0089072E">
        <w:rPr>
          <w:rFonts w:ascii="Times New Roman" w:eastAsiaTheme="minorEastAsia" w:hAnsi="Times New Roman" w:cs="Times New Roman"/>
          <w:sz w:val="24"/>
          <w:szCs w:val="24"/>
        </w:rPr>
        <w:t xml:space="preserve"> em relação a avaliação do estado nutricional</w:t>
      </w:r>
      <w:r w:rsidR="00C634EF">
        <w:rPr>
          <w:rFonts w:ascii="Times New Roman" w:eastAsiaTheme="minorEastAsia" w:hAnsi="Times New Roman" w:cs="Times New Roman"/>
          <w:sz w:val="24"/>
          <w:szCs w:val="24"/>
        </w:rPr>
        <w:t xml:space="preserve">, sendo </w:t>
      </w:r>
      <w:r w:rsidR="0089072E">
        <w:rPr>
          <w:rFonts w:ascii="Times New Roman" w:eastAsiaTheme="minorEastAsia" w:hAnsi="Times New Roman" w:cs="Times New Roman"/>
          <w:sz w:val="24"/>
          <w:szCs w:val="24"/>
        </w:rPr>
        <w:t xml:space="preserve">que </w:t>
      </w:r>
      <w:r w:rsidR="00C634EF">
        <w:rPr>
          <w:rFonts w:ascii="Times New Roman" w:eastAsiaTheme="minorEastAsia" w:hAnsi="Times New Roman" w:cs="Times New Roman"/>
          <w:sz w:val="24"/>
          <w:szCs w:val="24"/>
        </w:rPr>
        <w:t>100% da amostra</w:t>
      </w:r>
      <w:r w:rsidR="0089072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12419">
        <w:rPr>
          <w:rFonts w:ascii="Times New Roman" w:eastAsiaTheme="minorEastAsia" w:hAnsi="Times New Roman" w:cs="Times New Roman"/>
          <w:sz w:val="24"/>
          <w:szCs w:val="24"/>
        </w:rPr>
        <w:t>constatou</w:t>
      </w:r>
      <w:r w:rsidR="0089072E">
        <w:rPr>
          <w:rFonts w:ascii="Times New Roman" w:eastAsiaTheme="minorEastAsia" w:hAnsi="Times New Roman" w:cs="Times New Roman"/>
          <w:sz w:val="24"/>
          <w:szCs w:val="24"/>
        </w:rPr>
        <w:t xml:space="preserve"> a avaliação e diagnóstico pela ASG</w:t>
      </w:r>
      <w:r w:rsidR="00E3232C">
        <w:rPr>
          <w:rFonts w:ascii="Times New Roman" w:eastAsiaTheme="minorEastAsia" w:hAnsi="Times New Roman" w:cs="Times New Roman"/>
          <w:sz w:val="24"/>
          <w:szCs w:val="24"/>
        </w:rPr>
        <w:t>-PPP</w:t>
      </w:r>
      <w:r w:rsidR="0001241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9119AB">
        <w:rPr>
          <w:rFonts w:ascii="Times New Roman" w:eastAsiaTheme="minorEastAsia" w:hAnsi="Times New Roman" w:cs="Times New Roman"/>
          <w:sz w:val="24"/>
          <w:szCs w:val="24"/>
        </w:rPr>
        <w:t>no entanto</w:t>
      </w:r>
      <w:r w:rsidR="00012419">
        <w:rPr>
          <w:rFonts w:ascii="Times New Roman" w:eastAsiaTheme="minorEastAsia" w:hAnsi="Times New Roman" w:cs="Times New Roman"/>
          <w:sz w:val="24"/>
          <w:szCs w:val="24"/>
        </w:rPr>
        <w:t xml:space="preserve"> o estudo de AZEVEDO </w:t>
      </w:r>
      <w:r w:rsidR="00012419">
        <w:rPr>
          <w:rFonts w:ascii="Times New Roman" w:eastAsiaTheme="minorEastAsia" w:hAnsi="Times New Roman" w:cs="Times New Roman"/>
          <w:i/>
          <w:sz w:val="24"/>
          <w:szCs w:val="24"/>
        </w:rPr>
        <w:t xml:space="preserve">et al, </w:t>
      </w:r>
      <w:r w:rsidR="00012419">
        <w:rPr>
          <w:rFonts w:ascii="Times New Roman" w:eastAsiaTheme="minorEastAsia" w:hAnsi="Times New Roman" w:cs="Times New Roman"/>
          <w:sz w:val="24"/>
          <w:szCs w:val="24"/>
        </w:rPr>
        <w:t xml:space="preserve">2006 verificou </w:t>
      </w:r>
      <w:r w:rsidR="00335BF8">
        <w:rPr>
          <w:rFonts w:ascii="Times New Roman" w:eastAsiaTheme="minorEastAsia" w:hAnsi="Times New Roman" w:cs="Times New Roman"/>
          <w:sz w:val="24"/>
          <w:szCs w:val="24"/>
        </w:rPr>
        <w:t>que 83,83% dos pacientes avaliados pela ASG</w:t>
      </w:r>
      <w:r w:rsidR="00E3232C">
        <w:rPr>
          <w:rFonts w:ascii="Times New Roman" w:eastAsiaTheme="minorEastAsia" w:hAnsi="Times New Roman" w:cs="Times New Roman"/>
          <w:sz w:val="24"/>
          <w:szCs w:val="24"/>
        </w:rPr>
        <w:t>-PPP</w:t>
      </w:r>
      <w:r w:rsidR="00335BF8">
        <w:rPr>
          <w:rFonts w:ascii="Times New Roman" w:eastAsiaTheme="minorEastAsia" w:hAnsi="Times New Roman" w:cs="Times New Roman"/>
          <w:sz w:val="24"/>
          <w:szCs w:val="24"/>
        </w:rPr>
        <w:t xml:space="preserve"> não tiveram seu diagnóstico nutricional descrito nos prontuários o que implica no tempo de internação, além de não promover a recuperação do estado nutricional, sendo que 45% desses pacientes que não tiveram seu diagnóstico nutricional relatado no prontuário</w:t>
      </w:r>
      <w:r w:rsidR="00E3232C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35BF8">
        <w:rPr>
          <w:rFonts w:ascii="Times New Roman" w:eastAsiaTheme="minorEastAsia" w:hAnsi="Times New Roman" w:cs="Times New Roman"/>
          <w:sz w:val="24"/>
          <w:szCs w:val="24"/>
        </w:rPr>
        <w:t xml:space="preserve"> não estavam recebendo terapia nutricional. </w:t>
      </w:r>
      <w:r w:rsidR="009119AB">
        <w:rPr>
          <w:rFonts w:ascii="Times New Roman" w:eastAsiaTheme="minorEastAsia" w:hAnsi="Times New Roman" w:cs="Times New Roman"/>
          <w:sz w:val="24"/>
          <w:szCs w:val="24"/>
        </w:rPr>
        <w:t>Dessa forma é indispensável o acompanhamento nutricional para promover a melhora do estado nutricional, sendo possível através de ferramentas para diagnosticar a desnutrição em pacientes hospitalizados.</w:t>
      </w:r>
    </w:p>
    <w:p w14:paraId="5DF249C3" w14:textId="18C05DF3" w:rsidR="001B215C" w:rsidRDefault="00BF4DA7" w:rsidP="008718E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Em comparação ao diagnóstico nutricional e diagnóstico clínico, o Câncer</w:t>
      </w:r>
      <w:r w:rsidR="001B215C">
        <w:rPr>
          <w:rFonts w:ascii="Times New Roman" w:eastAsiaTheme="minorEastAsia" w:hAnsi="Times New Roman" w:cs="Times New Roman"/>
          <w:sz w:val="24"/>
          <w:szCs w:val="24"/>
        </w:rPr>
        <w:t xml:space="preserve"> de outros sítios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repercutiu com maior incidência em todas as classificações da ASG-PPP apresentados n</w:t>
      </w:r>
      <w:r w:rsidR="00A34CCE">
        <w:rPr>
          <w:rFonts w:ascii="Times New Roman" w:eastAsiaTheme="minorEastAsia" w:hAnsi="Times New Roman" w:cs="Times New Roman"/>
          <w:sz w:val="24"/>
          <w:szCs w:val="24"/>
        </w:rPr>
        <w:t>a Figura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1. </w:t>
      </w:r>
      <w:r w:rsidR="00073B74">
        <w:rPr>
          <w:rFonts w:ascii="Times New Roman" w:eastAsiaTheme="minorEastAsia" w:hAnsi="Times New Roman" w:cs="Times New Roman"/>
          <w:sz w:val="24"/>
          <w:szCs w:val="24"/>
        </w:rPr>
        <w:t>Em relação a</w:t>
      </w:r>
      <w:r w:rsidR="008775CC">
        <w:rPr>
          <w:rFonts w:ascii="Times New Roman" w:eastAsiaTheme="minorEastAsia" w:hAnsi="Times New Roman" w:cs="Times New Roman"/>
          <w:sz w:val="24"/>
          <w:szCs w:val="24"/>
        </w:rPr>
        <w:t xml:space="preserve">o total da amostra quando estratificamos a avaliação nutricional por diagnóstico clínico, foi possível </w:t>
      </w:r>
      <w:r w:rsidR="00C634EF">
        <w:rPr>
          <w:rFonts w:ascii="Times New Roman" w:eastAsiaTheme="minorEastAsia" w:hAnsi="Times New Roman" w:cs="Times New Roman"/>
          <w:sz w:val="24"/>
          <w:szCs w:val="24"/>
        </w:rPr>
        <w:t>observar uma elevada frequência</w:t>
      </w:r>
      <w:r w:rsidR="008775CC">
        <w:rPr>
          <w:rFonts w:ascii="Times New Roman" w:eastAsiaTheme="minorEastAsia" w:hAnsi="Times New Roman" w:cs="Times New Roman"/>
          <w:sz w:val="24"/>
          <w:szCs w:val="24"/>
        </w:rPr>
        <w:t xml:space="preserve"> de desnutridos naqueles com diagnóstico de câncer</w:t>
      </w:r>
      <w:r w:rsidR="00C634EF">
        <w:rPr>
          <w:rFonts w:ascii="Times New Roman" w:eastAsiaTheme="minorEastAsia" w:hAnsi="Times New Roman" w:cs="Times New Roman"/>
          <w:sz w:val="24"/>
          <w:szCs w:val="24"/>
        </w:rPr>
        <w:t>, similar ao estudo de</w:t>
      </w:r>
      <w:r w:rsidR="00C63CC8">
        <w:rPr>
          <w:rFonts w:ascii="Times New Roman" w:eastAsiaTheme="minorEastAsia" w:hAnsi="Times New Roman" w:cs="Times New Roman"/>
          <w:sz w:val="24"/>
          <w:szCs w:val="24"/>
        </w:rPr>
        <w:t xml:space="preserve"> GOMES</w:t>
      </w:r>
      <w:r w:rsidR="00F13B5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B215C">
        <w:rPr>
          <w:rFonts w:ascii="Times New Roman" w:eastAsiaTheme="minorEastAsia" w:hAnsi="Times New Roman" w:cs="Times New Roman"/>
          <w:i/>
          <w:sz w:val="24"/>
          <w:szCs w:val="24"/>
        </w:rPr>
        <w:t xml:space="preserve">et al, </w:t>
      </w:r>
      <w:r w:rsidR="001B215C">
        <w:rPr>
          <w:rFonts w:ascii="Times New Roman" w:eastAsiaTheme="minorEastAsia" w:hAnsi="Times New Roman" w:cs="Times New Roman"/>
          <w:sz w:val="24"/>
          <w:szCs w:val="24"/>
        </w:rPr>
        <w:t>2015 que afirma ser comum a desnutrição em pacientes oncológicos, uma vez que o estado nutricional e sintomas gastrointestinais devem ser controlados para melhorar os resultados clínicos e a qualidade de vida.</w:t>
      </w:r>
    </w:p>
    <w:p w14:paraId="3304AD43" w14:textId="0EDF5BD0" w:rsidR="0089072E" w:rsidRDefault="0089072E" w:rsidP="008718E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Em resumo, os resultados encontrados for</w:t>
      </w:r>
      <w:r w:rsidR="00FD5C6B">
        <w:rPr>
          <w:rFonts w:ascii="Times New Roman" w:eastAsiaTheme="minorEastAsia" w:hAnsi="Times New Roman" w:cs="Times New Roman"/>
          <w:sz w:val="24"/>
          <w:szCs w:val="24"/>
        </w:rPr>
        <w:t>am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bastante significativos. Aonde pode-se observar a prevalência d</w:t>
      </w:r>
      <w:r w:rsidR="008A2946">
        <w:rPr>
          <w:rFonts w:ascii="Times New Roman" w:eastAsiaTheme="minorEastAsia" w:hAnsi="Times New Roman" w:cs="Times New Roman"/>
          <w:sz w:val="24"/>
          <w:szCs w:val="24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desnutrição a nível hospitalar, sendo esta desnutrição mais evidente nos pacientes com diagnóstico de câncer</w:t>
      </w:r>
      <w:r w:rsidR="006649C9">
        <w:rPr>
          <w:rFonts w:ascii="Times New Roman" w:eastAsiaTheme="minorEastAsia" w:hAnsi="Times New Roman" w:cs="Times New Roman"/>
          <w:sz w:val="24"/>
          <w:szCs w:val="24"/>
        </w:rPr>
        <w:t xml:space="preserve"> de outros sítios e câncer do TGI totalizando</w:t>
      </w:r>
      <w:r w:rsidR="00C15BB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649C9">
        <w:rPr>
          <w:rFonts w:ascii="Times New Roman" w:eastAsiaTheme="minorEastAsia" w:hAnsi="Times New Roman" w:cs="Times New Roman"/>
          <w:sz w:val="24"/>
          <w:szCs w:val="24"/>
        </w:rPr>
        <w:t>84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%. Corroborando com os estudos recentes, como de TOLEDO </w:t>
      </w:r>
      <w:r w:rsidRPr="00DD1584">
        <w:rPr>
          <w:rFonts w:ascii="Times New Roman" w:eastAsiaTheme="minorEastAsia" w:hAnsi="Times New Roman" w:cs="Times New Roman"/>
          <w:i/>
          <w:sz w:val="24"/>
          <w:szCs w:val="24"/>
        </w:rPr>
        <w:t>et al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FD5C6B">
        <w:rPr>
          <w:rFonts w:ascii="Times New Roman" w:eastAsiaTheme="minorEastAsia" w:hAnsi="Times New Roman" w:cs="Times New Roman"/>
          <w:sz w:val="24"/>
          <w:szCs w:val="24"/>
        </w:rPr>
        <w:t xml:space="preserve"> 2018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que afirmou que a desnutrição está presente </w:t>
      </w:r>
      <w:r w:rsidRPr="008D676E">
        <w:rPr>
          <w:rFonts w:ascii="Times New Roman" w:eastAsiaTheme="minorEastAsia" w:hAnsi="Times New Roman" w:cs="Times New Roman"/>
          <w:sz w:val="24"/>
          <w:szCs w:val="24"/>
        </w:rPr>
        <w:t xml:space="preserve">entre </w:t>
      </w:r>
      <w:r w:rsidR="008D676E" w:rsidRPr="008D676E">
        <w:rPr>
          <w:rFonts w:ascii="Times New Roman" w:eastAsiaTheme="minorEastAsia" w:hAnsi="Times New Roman" w:cs="Times New Roman"/>
          <w:sz w:val="24"/>
          <w:szCs w:val="24"/>
        </w:rPr>
        <w:t>20</w:t>
      </w:r>
      <w:r w:rsidRPr="008D676E">
        <w:rPr>
          <w:rFonts w:ascii="Times New Roman" w:eastAsiaTheme="minorEastAsia" w:hAnsi="Times New Roman" w:cs="Times New Roman"/>
          <w:sz w:val="24"/>
          <w:szCs w:val="24"/>
        </w:rPr>
        <w:t xml:space="preserve"> a </w:t>
      </w:r>
      <w:r w:rsidR="008D676E" w:rsidRPr="008D676E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8D676E">
        <w:rPr>
          <w:rFonts w:ascii="Times New Roman" w:eastAsiaTheme="minorEastAsia" w:hAnsi="Times New Roman" w:cs="Times New Roman"/>
          <w:sz w:val="24"/>
          <w:szCs w:val="24"/>
        </w:rPr>
        <w:t xml:space="preserve">0% dos </w:t>
      </w:r>
      <w:r>
        <w:rPr>
          <w:rFonts w:ascii="Times New Roman" w:eastAsiaTheme="minorEastAsia" w:hAnsi="Times New Roman" w:cs="Times New Roman"/>
          <w:sz w:val="24"/>
          <w:szCs w:val="24"/>
        </w:rPr>
        <w:t>pacientes nos hospitais brasileiros</w:t>
      </w:r>
      <w:r w:rsidR="008D676E">
        <w:rPr>
          <w:rFonts w:ascii="Times New Roman" w:eastAsiaTheme="minorEastAsia" w:hAnsi="Times New Roman" w:cs="Times New Roman"/>
          <w:sz w:val="24"/>
          <w:szCs w:val="24"/>
        </w:rPr>
        <w:t xml:space="preserve"> e no momento da admissão 40 a 60% dos pacientes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C621E">
        <w:rPr>
          <w:rFonts w:ascii="Times New Roman" w:eastAsiaTheme="minorEastAsia" w:hAnsi="Times New Roman" w:cs="Times New Roman"/>
          <w:sz w:val="24"/>
          <w:szCs w:val="24"/>
        </w:rPr>
        <w:t xml:space="preserve"> Portanto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C621E">
        <w:rPr>
          <w:rFonts w:ascii="Times New Roman" w:eastAsiaTheme="minorEastAsia" w:hAnsi="Times New Roman" w:cs="Times New Roman"/>
          <w:sz w:val="24"/>
          <w:szCs w:val="24"/>
        </w:rPr>
        <w:t xml:space="preserve"> com </w:t>
      </w:r>
      <w:r>
        <w:rPr>
          <w:rFonts w:ascii="Times New Roman" w:eastAsiaTheme="minorEastAsia" w:hAnsi="Times New Roman" w:cs="Times New Roman"/>
          <w:sz w:val="24"/>
          <w:szCs w:val="24"/>
        </w:rPr>
        <w:t>a alta prevalência da desnutrição foi possível relacionar aos indicadores de qualidade</w:t>
      </w:r>
      <w:r w:rsidR="00C15BBE">
        <w:rPr>
          <w:rFonts w:ascii="Times New Roman" w:eastAsiaTheme="minorEastAsia" w:hAnsi="Times New Roman" w:cs="Times New Roman"/>
          <w:sz w:val="24"/>
          <w:szCs w:val="24"/>
        </w:rPr>
        <w:t xml:space="preserve">, devido os resultados referentes a estes terem sido </w:t>
      </w:r>
      <w:r w:rsidR="004C621E">
        <w:rPr>
          <w:rFonts w:ascii="Times New Roman" w:eastAsiaTheme="minorEastAsia" w:hAnsi="Times New Roman" w:cs="Times New Roman"/>
          <w:sz w:val="24"/>
          <w:szCs w:val="24"/>
        </w:rPr>
        <w:t>elevado</w:t>
      </w:r>
      <w:r w:rsidR="00C15BB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6CD57983" w14:textId="12BF4D39" w:rsidR="00FC6D7E" w:rsidRDefault="00FC6D7E" w:rsidP="006B7BF2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0024352" w14:textId="77777777" w:rsidR="007B3009" w:rsidRDefault="007B3009" w:rsidP="006B7BF2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A695F0C" w14:textId="3244C4DF" w:rsidR="00A13D2E" w:rsidRDefault="00A13D2E" w:rsidP="006B7BF2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CONCLUSÃO</w:t>
      </w:r>
    </w:p>
    <w:p w14:paraId="13415F3A" w14:textId="77777777" w:rsidR="00CA61C5" w:rsidRDefault="00CA61C5" w:rsidP="006B7BF2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5A78ED4" w14:textId="3D6B9B24" w:rsidR="00CA61C5" w:rsidRPr="00CA61C5" w:rsidRDefault="00F07B83" w:rsidP="00CA61C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Conclui-se que a maioria dos pacientes avaliados se encontravam em desnutrição grave e </w:t>
      </w:r>
      <w:r w:rsidR="00CA61C5" w:rsidRPr="00CA61C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 aplicação precoce da ASG-PPP no Hospital do Câncer</w:t>
      </w:r>
      <w:r w:rsidR="002E08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de </w:t>
      </w:r>
      <w:r w:rsidR="00E37E9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Cuiabá</w:t>
      </w:r>
      <w:r w:rsidR="002E08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-MT</w:t>
      </w:r>
      <w:r w:rsidR="00CA61C5" w:rsidRPr="00CA61C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apresentou resultado satisfatório,</w:t>
      </w:r>
      <w:r w:rsidR="00CA61C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uma vez que após admissão</w:t>
      </w:r>
      <w:r w:rsidR="002E08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</w:t>
      </w:r>
      <w:r w:rsidR="00CA61C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os pacientes devem ser guiados por esse método, considerando a população e a rapidez da </w:t>
      </w:r>
      <w:r w:rsidR="002E08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aplicação, dentro</w:t>
      </w:r>
      <w:r w:rsidR="00CA61C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das primeiras 48 horas. </w:t>
      </w:r>
      <w:r w:rsidR="002E088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Quando identificado riscos e permeâncias hospitalares a avaliação nutricional deve ser empregada para o diagnóstico do estado nutricional e intervenções adequadas.  </w:t>
      </w:r>
      <w:r w:rsidR="00E37E9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Diante da aplicação dos indicadores de qualidade o estudo mostrou resultados</w:t>
      </w:r>
      <w:r w:rsidR="00FC6D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7B300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relativos em comparação com as metas atribuídas de acordo com a literatura. O tempo em jejum foi o indicador em destaque apresentando um alto percentual devido a motivos como: jejum pré e pós-operatório e exames. </w:t>
      </w:r>
      <w:r w:rsidR="00DA38C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É fundamental </w:t>
      </w:r>
      <w:r w:rsidR="00653A3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 aplicação dos indicadores de qualidade no âmbito hospitalar para cognição dos ensejos de intervenção, é de suma importância que mais estudos sejam realizados acerca desse assunto. </w:t>
      </w:r>
    </w:p>
    <w:p w14:paraId="7647D7DC" w14:textId="77777777" w:rsidR="00A13D2E" w:rsidRDefault="00A13D2E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D3114A0" w14:textId="77777777" w:rsidR="00A13D2E" w:rsidRDefault="00A13D2E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EF101CA" w14:textId="77777777" w:rsidR="00A13D2E" w:rsidRDefault="00A13D2E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EDE56AF" w14:textId="77777777" w:rsidR="00A13D2E" w:rsidRDefault="00A13D2E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2B0492C" w14:textId="77777777" w:rsidR="00A13D2E" w:rsidRDefault="00A13D2E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4FF3EF68" w14:textId="77777777" w:rsidR="00A13D2E" w:rsidRDefault="00A13D2E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REFERÊNCIAS BIBLIOGRÁFICAS</w:t>
      </w:r>
    </w:p>
    <w:p w14:paraId="3CE73914" w14:textId="77777777" w:rsidR="00A06407" w:rsidRDefault="00A06407" w:rsidP="008D676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AZEVEDO, L.C; SILVA, A.A; CAPANELLA, E.L.S.; Prevalência de desnutrição em um hospital geral de grande porte de Santa Catarina/Brasil. v.35, n.4, p. 89-96, 2006. </w:t>
      </w:r>
    </w:p>
    <w:p w14:paraId="0D859BAC" w14:textId="77777777" w:rsidR="00A06407" w:rsidRPr="002E5848" w:rsidRDefault="00A06407" w:rsidP="00A13D2E">
      <w:pPr>
        <w:pStyle w:val="PargrafodaLista"/>
        <w:numPr>
          <w:ilvl w:val="0"/>
          <w:numId w:val="1"/>
        </w:numPr>
        <w:spacing w:line="360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B6785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BRASIL. PORTARIA MS/SNVS N° 272, DE 8 DE ABRIL DE 1998. Dispõe</w:t>
      </w:r>
      <w:r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do Regulamento Técnico fixa os requisitos mínimos exigidos para a Terapia de Nutrição Parenteral.</w:t>
      </w:r>
    </w:p>
    <w:p w14:paraId="59B1BC12" w14:textId="77777777" w:rsidR="00A06407" w:rsidRDefault="00A06407" w:rsidP="008D676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CAMPOS, A.C.L; MATSUBA, C.S.T; AANHOLT, D.P.J.V; NUNES, D.S.L; TOLEDO, D.O; ROCHA, E.E.M; CORREIA, F.G; CENICCOLA, G.D; CUNHA, H.F.R; SOUZA, I.A.O; FILHO, J.W.F; NASCIMENTO, J.E.A; MATOS, L.B.N; SILVA, M.L.T; DIAS, M.C.G; CASTRO, M.G; SILVA, M.H.N; RIBEIRO, P.C; GONÇALVES, R.C; LOSS, S.H.; Diretrizes brasileiras de terapia nutricional. v.1, n.33, p. 1-55, 2018.</w:t>
      </w:r>
    </w:p>
    <w:p w14:paraId="1288ED49" w14:textId="77777777" w:rsidR="00A06407" w:rsidRPr="002E5848" w:rsidRDefault="00A06407" w:rsidP="00A13D2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CARMO, S.G; FORTES, R.C.; Efeito do uso de fórmulas imunomoduladoras em pacientes cirúrgicos portadores de câncer do trato gastrointestinal. v.1, n.8, p. 87-102, 2018. </w:t>
      </w:r>
    </w:p>
    <w:p w14:paraId="2A03CED4" w14:textId="77777777" w:rsidR="00A06407" w:rsidRPr="002E5848" w:rsidRDefault="00A06407" w:rsidP="00A13D2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848">
        <w:rPr>
          <w:rFonts w:ascii="Times New Roman" w:hAnsi="Times New Roman" w:cs="Times New Roman"/>
          <w:sz w:val="24"/>
          <w:szCs w:val="24"/>
        </w:rPr>
        <w:t>GANDOLFO, A.S; ZAMBERLAN, P; SILVA, A.P.A; FALCÃO, M.C; FEFERBAUM, R.; Indicadores de Qualidade em Terapia Nutricional Pediátrica. v.3, p. 9-31, 2017.</w:t>
      </w:r>
    </w:p>
    <w:p w14:paraId="6F227587" w14:textId="77777777" w:rsidR="00A06407" w:rsidRDefault="00A06407" w:rsidP="00A13D2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GOMES, N.S; MAIO, R.; Avaliação Subjetiva Global Produzida pelo Próprio Paciente e Indicadores de Risco Nutricional no Paciente Oncológico em Quimioterapia. v.3, n.61, p. 235-242, 2015.</w:t>
      </w:r>
    </w:p>
    <w:p w14:paraId="1803A612" w14:textId="77777777" w:rsidR="00A06407" w:rsidRDefault="00A06407" w:rsidP="008D676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INSTITUTO NACIONAL DE CÂNCER JOSÉ ALENCAR GOMES DA SILVA. </w:t>
      </w:r>
      <w:r>
        <w:rPr>
          <w:rFonts w:ascii="Times New Roman" w:hAnsi="Times New Roman" w:cs="Times New Roman"/>
          <w:b/>
          <w:sz w:val="24"/>
          <w:szCs w:val="24"/>
        </w:rPr>
        <w:t xml:space="preserve">Estimativa 2016: </w:t>
      </w:r>
      <w:r>
        <w:rPr>
          <w:rFonts w:ascii="Times New Roman" w:hAnsi="Times New Roman" w:cs="Times New Roman"/>
          <w:sz w:val="24"/>
          <w:szCs w:val="24"/>
        </w:rPr>
        <w:t>incidência de câncer no Brasil. Rio de Janeiro, 2016.</w:t>
      </w:r>
    </w:p>
    <w:p w14:paraId="5F06B4EA" w14:textId="77777777" w:rsidR="00A06407" w:rsidRPr="002E5848" w:rsidRDefault="00A06407" w:rsidP="00A13D2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848">
        <w:rPr>
          <w:rFonts w:ascii="Times New Roman" w:hAnsi="Times New Roman" w:cs="Times New Roman"/>
          <w:sz w:val="24"/>
          <w:szCs w:val="24"/>
        </w:rPr>
        <w:t xml:space="preserve">SANTOS, A.L; ALVES, T.C.H.S.; Terapia nutricional enteral: relação entre percentual de dieta prescrito e administrado e intercorrências associadas em hospital público de Salvador – BA. v.1, n. 33, p. 58-63, 2018. </w:t>
      </w:r>
    </w:p>
    <w:p w14:paraId="1F574D93" w14:textId="77777777" w:rsidR="00A06407" w:rsidRPr="002E5848" w:rsidRDefault="00A06407" w:rsidP="00A13D2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E5848">
        <w:rPr>
          <w:rFonts w:ascii="Times New Roman" w:hAnsi="Times New Roman" w:cs="Times New Roman"/>
          <w:sz w:val="24"/>
          <w:szCs w:val="24"/>
        </w:rPr>
        <w:t>SOUZA, M.A; MEZZOMO, T.R.; Estado nutricional e indicadores de qualidade em terapia nutricional de idosos sépticos internados em uma unidade de terapia intensiva. v.1, n.31. p. 23-28, 2016.</w:t>
      </w:r>
    </w:p>
    <w:p w14:paraId="7347CEB3" w14:textId="77777777" w:rsidR="00A06407" w:rsidRDefault="00A06407" w:rsidP="00A13D2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848">
        <w:rPr>
          <w:rFonts w:ascii="Times New Roman" w:hAnsi="Times New Roman" w:cs="Times New Roman"/>
          <w:sz w:val="24"/>
          <w:szCs w:val="24"/>
        </w:rPr>
        <w:t xml:space="preserve">TOLEDO, D.O; PIOVACARI, S.M.F; HORIE, L.M; MATOS, L.B.N; CASTRO, M.G; CENICCOLA, G.D; CORRÊA, F.G; GIACOMASSI, I.W.S; BARRÉRE, A.P.N; CAMPOS, L.F; VEROTTI, C.C.G; MATSUBA, C.S.T; GONÇALVES, R.C; FALCÃO, H; DIB, R; LIMA, T.E.C; SOUZA, I.A.O; GONZALEZ, M.C; </w:t>
      </w:r>
      <w:r w:rsidRPr="002E5848">
        <w:rPr>
          <w:rFonts w:ascii="Times New Roman" w:hAnsi="Times New Roman" w:cs="Times New Roman"/>
          <w:sz w:val="24"/>
          <w:szCs w:val="24"/>
        </w:rPr>
        <w:lastRenderedPageBreak/>
        <w:t>CORREIA, M.I.D.; Campanha “Diga não à desnutrição”: 11 passos importantes para combater a desnutrição hospitalar. v.1, n.33, p. 86-100, 2018.</w:t>
      </w:r>
    </w:p>
    <w:bookmarkEnd w:id="0"/>
    <w:p w14:paraId="24D1A21D" w14:textId="77777777" w:rsidR="00A06407" w:rsidRDefault="00A06407" w:rsidP="008D676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F6E">
        <w:rPr>
          <w:rFonts w:ascii="Times New Roman" w:hAnsi="Times New Roman" w:cs="Times New Roman"/>
          <w:sz w:val="24"/>
          <w:szCs w:val="24"/>
        </w:rPr>
        <w:t xml:space="preserve">VEROTTI, C.C.G.; </w:t>
      </w:r>
      <w:r w:rsidRPr="00F13B5F">
        <w:rPr>
          <w:rFonts w:ascii="Times New Roman" w:hAnsi="Times New Roman" w:cs="Times New Roman"/>
          <w:b/>
          <w:sz w:val="24"/>
          <w:szCs w:val="24"/>
        </w:rPr>
        <w:t>Contribuição para seleção de dez indicadores de qualidade em terapia nutricional.</w:t>
      </w:r>
      <w:r w:rsidRPr="00F13B5F">
        <w:rPr>
          <w:rFonts w:ascii="Times New Roman" w:hAnsi="Times New Roman" w:cs="Times New Roman"/>
          <w:sz w:val="24"/>
          <w:szCs w:val="24"/>
        </w:rPr>
        <w:t xml:space="preserve"> 2012. 111f. Dissertação – Universidade de São Paulo, Faculdade de Medicina, Programa de Mestre</w:t>
      </w:r>
      <w:r>
        <w:rPr>
          <w:rFonts w:ascii="Times New Roman" w:hAnsi="Times New Roman" w:cs="Times New Roman"/>
          <w:sz w:val="24"/>
          <w:szCs w:val="24"/>
        </w:rPr>
        <w:t xml:space="preserve"> em Ciências, São Paulo, 2012.</w:t>
      </w:r>
    </w:p>
    <w:p w14:paraId="33F516A4" w14:textId="77777777" w:rsidR="00A13D2E" w:rsidRPr="002E5848" w:rsidRDefault="00A13D2E" w:rsidP="00A13D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264F9" w14:textId="77777777" w:rsidR="00A13D2E" w:rsidRPr="002E5848" w:rsidRDefault="00A13D2E" w:rsidP="00A13D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B9884AB" w14:textId="77777777" w:rsidR="002141C6" w:rsidRDefault="002141C6"/>
    <w:sectPr w:rsidR="002141C6" w:rsidSect="00AF4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ernBT-Roma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F408F"/>
    <w:multiLevelType w:val="hybridMultilevel"/>
    <w:tmpl w:val="1D861AB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2E"/>
    <w:rsid w:val="00000959"/>
    <w:rsid w:val="00012419"/>
    <w:rsid w:val="0002602F"/>
    <w:rsid w:val="000715E6"/>
    <w:rsid w:val="00073AFE"/>
    <w:rsid w:val="00073B74"/>
    <w:rsid w:val="0007757A"/>
    <w:rsid w:val="00081730"/>
    <w:rsid w:val="000C7D3A"/>
    <w:rsid w:val="000D482C"/>
    <w:rsid w:val="000D7DDF"/>
    <w:rsid w:val="000E5178"/>
    <w:rsid w:val="00102CCC"/>
    <w:rsid w:val="0010644A"/>
    <w:rsid w:val="001229A0"/>
    <w:rsid w:val="00130448"/>
    <w:rsid w:val="00134900"/>
    <w:rsid w:val="00141FE7"/>
    <w:rsid w:val="001452BB"/>
    <w:rsid w:val="00151ED8"/>
    <w:rsid w:val="00154857"/>
    <w:rsid w:val="0016337D"/>
    <w:rsid w:val="001700B9"/>
    <w:rsid w:val="001733E2"/>
    <w:rsid w:val="0018689E"/>
    <w:rsid w:val="001A5CF6"/>
    <w:rsid w:val="001A76B5"/>
    <w:rsid w:val="001B03D6"/>
    <w:rsid w:val="001B215C"/>
    <w:rsid w:val="001B2B7C"/>
    <w:rsid w:val="001B42FE"/>
    <w:rsid w:val="001C2F11"/>
    <w:rsid w:val="002028A3"/>
    <w:rsid w:val="00202C4B"/>
    <w:rsid w:val="00212B13"/>
    <w:rsid w:val="002141C6"/>
    <w:rsid w:val="00227D3A"/>
    <w:rsid w:val="00233C22"/>
    <w:rsid w:val="002375F8"/>
    <w:rsid w:val="002670E2"/>
    <w:rsid w:val="00274076"/>
    <w:rsid w:val="002933D6"/>
    <w:rsid w:val="002A3FBD"/>
    <w:rsid w:val="002E0884"/>
    <w:rsid w:val="002E4A12"/>
    <w:rsid w:val="002F2BED"/>
    <w:rsid w:val="002F75BB"/>
    <w:rsid w:val="0030789E"/>
    <w:rsid w:val="003346B3"/>
    <w:rsid w:val="00335BF8"/>
    <w:rsid w:val="0035585E"/>
    <w:rsid w:val="003A6B5A"/>
    <w:rsid w:val="003C3754"/>
    <w:rsid w:val="003C7C8E"/>
    <w:rsid w:val="003C7E01"/>
    <w:rsid w:val="003D3BCA"/>
    <w:rsid w:val="003E2A60"/>
    <w:rsid w:val="003F795A"/>
    <w:rsid w:val="00404CDD"/>
    <w:rsid w:val="004206CF"/>
    <w:rsid w:val="0042193A"/>
    <w:rsid w:val="00424F6E"/>
    <w:rsid w:val="00432927"/>
    <w:rsid w:val="00434E0C"/>
    <w:rsid w:val="00442213"/>
    <w:rsid w:val="004432D6"/>
    <w:rsid w:val="00461293"/>
    <w:rsid w:val="00484BA8"/>
    <w:rsid w:val="00492980"/>
    <w:rsid w:val="004B6544"/>
    <w:rsid w:val="004C621E"/>
    <w:rsid w:val="004D0620"/>
    <w:rsid w:val="004E6789"/>
    <w:rsid w:val="004F3B17"/>
    <w:rsid w:val="005001C0"/>
    <w:rsid w:val="0051187C"/>
    <w:rsid w:val="00512C3D"/>
    <w:rsid w:val="005378B7"/>
    <w:rsid w:val="00542E42"/>
    <w:rsid w:val="0059544B"/>
    <w:rsid w:val="005C2616"/>
    <w:rsid w:val="005C2798"/>
    <w:rsid w:val="005C2D80"/>
    <w:rsid w:val="005C455E"/>
    <w:rsid w:val="005E2D21"/>
    <w:rsid w:val="005F1FF7"/>
    <w:rsid w:val="005F2ED3"/>
    <w:rsid w:val="006205A4"/>
    <w:rsid w:val="00625808"/>
    <w:rsid w:val="006272DA"/>
    <w:rsid w:val="00633A1F"/>
    <w:rsid w:val="00633E1D"/>
    <w:rsid w:val="00641497"/>
    <w:rsid w:val="00653A3C"/>
    <w:rsid w:val="00654B83"/>
    <w:rsid w:val="00657812"/>
    <w:rsid w:val="006649C9"/>
    <w:rsid w:val="0067724F"/>
    <w:rsid w:val="006A26F1"/>
    <w:rsid w:val="006B5CFA"/>
    <w:rsid w:val="006B7BF2"/>
    <w:rsid w:val="006C0B73"/>
    <w:rsid w:val="006C3EA3"/>
    <w:rsid w:val="006D405B"/>
    <w:rsid w:val="006E09BE"/>
    <w:rsid w:val="00704244"/>
    <w:rsid w:val="00713827"/>
    <w:rsid w:val="00732878"/>
    <w:rsid w:val="0074003E"/>
    <w:rsid w:val="00744901"/>
    <w:rsid w:val="00763540"/>
    <w:rsid w:val="00786F7A"/>
    <w:rsid w:val="007913AF"/>
    <w:rsid w:val="00792D4B"/>
    <w:rsid w:val="007A60A8"/>
    <w:rsid w:val="007B11E0"/>
    <w:rsid w:val="007B3009"/>
    <w:rsid w:val="007B4BAB"/>
    <w:rsid w:val="007C4FDF"/>
    <w:rsid w:val="007C6E81"/>
    <w:rsid w:val="007F0181"/>
    <w:rsid w:val="007F4D3A"/>
    <w:rsid w:val="00831FC2"/>
    <w:rsid w:val="00847BB3"/>
    <w:rsid w:val="008531E4"/>
    <w:rsid w:val="00863938"/>
    <w:rsid w:val="008664F4"/>
    <w:rsid w:val="008718E8"/>
    <w:rsid w:val="008775CC"/>
    <w:rsid w:val="00881222"/>
    <w:rsid w:val="0089072E"/>
    <w:rsid w:val="008A15CE"/>
    <w:rsid w:val="008A2946"/>
    <w:rsid w:val="008D1271"/>
    <w:rsid w:val="008D676E"/>
    <w:rsid w:val="008E66CE"/>
    <w:rsid w:val="00902FC0"/>
    <w:rsid w:val="009119AB"/>
    <w:rsid w:val="0091227A"/>
    <w:rsid w:val="00925487"/>
    <w:rsid w:val="00926F29"/>
    <w:rsid w:val="009624E6"/>
    <w:rsid w:val="009B3627"/>
    <w:rsid w:val="009B56E0"/>
    <w:rsid w:val="009C4BD7"/>
    <w:rsid w:val="009E5D92"/>
    <w:rsid w:val="009F3597"/>
    <w:rsid w:val="009F3AFE"/>
    <w:rsid w:val="009F6EF0"/>
    <w:rsid w:val="00A063AE"/>
    <w:rsid w:val="00A06407"/>
    <w:rsid w:val="00A13D2E"/>
    <w:rsid w:val="00A244E2"/>
    <w:rsid w:val="00A34CCE"/>
    <w:rsid w:val="00A61C90"/>
    <w:rsid w:val="00A63797"/>
    <w:rsid w:val="00A74BB6"/>
    <w:rsid w:val="00A839D1"/>
    <w:rsid w:val="00AB44F7"/>
    <w:rsid w:val="00AE23AF"/>
    <w:rsid w:val="00AF4C42"/>
    <w:rsid w:val="00B11190"/>
    <w:rsid w:val="00B3329D"/>
    <w:rsid w:val="00B433B9"/>
    <w:rsid w:val="00B67853"/>
    <w:rsid w:val="00B7563E"/>
    <w:rsid w:val="00B77744"/>
    <w:rsid w:val="00BA3B6B"/>
    <w:rsid w:val="00BB5D2A"/>
    <w:rsid w:val="00BC2BEF"/>
    <w:rsid w:val="00BD7BD4"/>
    <w:rsid w:val="00BD7C39"/>
    <w:rsid w:val="00BE4D34"/>
    <w:rsid w:val="00BF4DA7"/>
    <w:rsid w:val="00C0050F"/>
    <w:rsid w:val="00C15BBE"/>
    <w:rsid w:val="00C243F3"/>
    <w:rsid w:val="00C34D41"/>
    <w:rsid w:val="00C50BEF"/>
    <w:rsid w:val="00C634EF"/>
    <w:rsid w:val="00C63CC8"/>
    <w:rsid w:val="00C82D5B"/>
    <w:rsid w:val="00C96407"/>
    <w:rsid w:val="00CA05DA"/>
    <w:rsid w:val="00CA268A"/>
    <w:rsid w:val="00CA61C5"/>
    <w:rsid w:val="00CC34D3"/>
    <w:rsid w:val="00CC5797"/>
    <w:rsid w:val="00CE4533"/>
    <w:rsid w:val="00D3152B"/>
    <w:rsid w:val="00D719CC"/>
    <w:rsid w:val="00D813C1"/>
    <w:rsid w:val="00D851C9"/>
    <w:rsid w:val="00D8687C"/>
    <w:rsid w:val="00DA38C4"/>
    <w:rsid w:val="00DD074E"/>
    <w:rsid w:val="00DD1584"/>
    <w:rsid w:val="00DD32CD"/>
    <w:rsid w:val="00DE658E"/>
    <w:rsid w:val="00DE6749"/>
    <w:rsid w:val="00E11328"/>
    <w:rsid w:val="00E3232C"/>
    <w:rsid w:val="00E327D9"/>
    <w:rsid w:val="00E37E90"/>
    <w:rsid w:val="00E45176"/>
    <w:rsid w:val="00E83E39"/>
    <w:rsid w:val="00E93DCD"/>
    <w:rsid w:val="00EB17BB"/>
    <w:rsid w:val="00EE0FDA"/>
    <w:rsid w:val="00F001FE"/>
    <w:rsid w:val="00F07B83"/>
    <w:rsid w:val="00F10EB4"/>
    <w:rsid w:val="00F11F4B"/>
    <w:rsid w:val="00F13B5F"/>
    <w:rsid w:val="00F13BD8"/>
    <w:rsid w:val="00F13FE6"/>
    <w:rsid w:val="00F41DF6"/>
    <w:rsid w:val="00F43307"/>
    <w:rsid w:val="00F512B0"/>
    <w:rsid w:val="00F75E84"/>
    <w:rsid w:val="00F851BF"/>
    <w:rsid w:val="00F8715E"/>
    <w:rsid w:val="00FA03D7"/>
    <w:rsid w:val="00FB7555"/>
    <w:rsid w:val="00FC1CC8"/>
    <w:rsid w:val="00FC6D7E"/>
    <w:rsid w:val="00FD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1DD0"/>
  <w15:docId w15:val="{8A0F839E-C3A5-4837-BD6F-65BA80D7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D2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3D2E"/>
    <w:pPr>
      <w:spacing w:after="0" w:line="240" w:lineRule="auto"/>
    </w:pPr>
  </w:style>
  <w:style w:type="character" w:customStyle="1" w:styleId="fontstyle01">
    <w:name w:val="fontstyle01"/>
    <w:basedOn w:val="Fontepargpadro"/>
    <w:rsid w:val="00A13D2E"/>
    <w:rPr>
      <w:rFonts w:ascii="BernhardModernBT-Roman" w:hAnsi="BernhardModernBT-Roman" w:hint="default"/>
      <w:b w:val="0"/>
      <w:bCs w:val="0"/>
      <w:i w:val="0"/>
      <w:iCs w:val="0"/>
      <w:color w:val="004A8F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3D2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A13D2E"/>
    <w:rPr>
      <w:rFonts w:eastAsiaTheme="minorEastAsia"/>
      <w:color w:val="5A5A5A" w:themeColor="text1" w:themeTint="A5"/>
      <w:spacing w:val="15"/>
    </w:rPr>
  </w:style>
  <w:style w:type="character" w:styleId="Refdecomentrio">
    <w:name w:val="annotation reference"/>
    <w:basedOn w:val="Fontepargpadro"/>
    <w:uiPriority w:val="99"/>
    <w:semiHidden/>
    <w:unhideWhenUsed/>
    <w:rsid w:val="00A13D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D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D2E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D2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13D2E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48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12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1271"/>
    <w:rPr>
      <w:b/>
      <w:bCs/>
      <w:sz w:val="20"/>
      <w:szCs w:val="20"/>
    </w:rPr>
  </w:style>
  <w:style w:type="character" w:customStyle="1" w:styleId="fontstyle21">
    <w:name w:val="fontstyle21"/>
    <w:basedOn w:val="Fontepargpadro"/>
    <w:rsid w:val="007B11E0"/>
    <w:rPr>
      <w:rFonts w:ascii="MyriadPro-Bold" w:hAnsi="MyriadPro-Bold" w:hint="default"/>
      <w:b/>
      <w:bCs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Clínico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3"/>
                <c:pt idx="0">
                  <c:v>ASG-PPP A</c:v>
                </c:pt>
                <c:pt idx="1">
                  <c:v>ASG-PPP B</c:v>
                </c:pt>
                <c:pt idx="2">
                  <c:v>ASG-PPP C</c:v>
                </c:pt>
              </c:strCache>
            </c:strRef>
          </c:cat>
          <c:val>
            <c:numRef>
              <c:f>Planilha1!$B$2:$B$5</c:f>
              <c:numCache>
                <c:formatCode>0%</c:formatCode>
                <c:ptCount val="4"/>
                <c:pt idx="0">
                  <c:v>0</c:v>
                </c:pt>
                <c:pt idx="1">
                  <c:v>0.09</c:v>
                </c:pt>
                <c:pt idx="2">
                  <c:v>0.16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7D-49BB-B724-95F0E90EDEE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Câncer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3"/>
                <c:pt idx="0">
                  <c:v>ASG-PPP A</c:v>
                </c:pt>
                <c:pt idx="1">
                  <c:v>ASG-PPP B</c:v>
                </c:pt>
                <c:pt idx="2">
                  <c:v>ASG-PPP C</c:v>
                </c:pt>
              </c:strCache>
            </c:strRef>
          </c:cat>
          <c:val>
            <c:numRef>
              <c:f>Planilha1!$C$2:$C$5</c:f>
              <c:numCache>
                <c:formatCode>0.00%</c:formatCode>
                <c:ptCount val="4"/>
                <c:pt idx="0">
                  <c:v>0.875</c:v>
                </c:pt>
                <c:pt idx="1">
                  <c:v>0.54500000000000004</c:v>
                </c:pt>
                <c:pt idx="2" formatCode="0%">
                  <c:v>0.42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D7D-49BB-B724-95F0E90EDEEE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Câncer do TGI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3"/>
                <c:pt idx="0">
                  <c:v>ASG-PPP A</c:v>
                </c:pt>
                <c:pt idx="1">
                  <c:v>ASG-PPP B</c:v>
                </c:pt>
                <c:pt idx="2">
                  <c:v>ASG-PPP C</c:v>
                </c:pt>
              </c:strCache>
            </c:strRef>
          </c:cat>
          <c:val>
            <c:numRef>
              <c:f>Planilha1!$D$2:$D$5</c:f>
              <c:numCache>
                <c:formatCode>0.00%</c:formatCode>
                <c:ptCount val="4"/>
                <c:pt idx="0">
                  <c:v>0.125</c:v>
                </c:pt>
                <c:pt idx="1">
                  <c:v>0.36499999999999999</c:v>
                </c:pt>
                <c:pt idx="2" formatCode="0%">
                  <c:v>0.42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D7D-49BB-B724-95F0E90EDE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2"/>
        <c:axId val="-1737169328"/>
        <c:axId val="-1737180208"/>
      </c:barChart>
      <c:catAx>
        <c:axId val="-173716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-1737180208"/>
        <c:crosses val="autoZero"/>
        <c:auto val="1"/>
        <c:lblAlgn val="ctr"/>
        <c:lblOffset val="100"/>
        <c:noMultiLvlLbl val="0"/>
      </c:catAx>
      <c:valAx>
        <c:axId val="-1737180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-173716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3314</Words>
  <Characters>17899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19</cp:revision>
  <dcterms:created xsi:type="dcterms:W3CDTF">2018-11-11T18:37:00Z</dcterms:created>
  <dcterms:modified xsi:type="dcterms:W3CDTF">2018-11-30T23:04:00Z</dcterms:modified>
</cp:coreProperties>
</file>